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cs="宋体"/>
          <w:b/>
          <w:color w:val="000000"/>
          <w:sz w:val="44"/>
          <w:szCs w:val="44"/>
          <w:lang w:val="en-US" w:eastAsia="zh-CN"/>
        </w:rPr>
      </w:pPr>
    </w:p>
    <w:p>
      <w:pPr>
        <w:jc w:val="center"/>
        <w:rPr>
          <w:rFonts w:hint="eastAsia" w:cs="宋体"/>
          <w:b/>
          <w:color w:val="000000"/>
          <w:sz w:val="44"/>
          <w:szCs w:val="44"/>
          <w:lang w:val="en-US" w:eastAsia="zh-CN"/>
        </w:rPr>
      </w:pPr>
    </w:p>
    <w:p>
      <w:pPr>
        <w:jc w:val="center"/>
        <w:rPr>
          <w:rFonts w:hint="eastAsia" w:cs="宋体"/>
          <w:b/>
          <w:color w:val="000000"/>
          <w:sz w:val="44"/>
          <w:szCs w:val="44"/>
          <w:lang w:val="en-US" w:eastAsia="zh-CN"/>
        </w:rPr>
      </w:pPr>
    </w:p>
    <w:p>
      <w:pPr>
        <w:jc w:val="center"/>
        <w:rPr>
          <w:rFonts w:hint="eastAsia" w:cs="宋体"/>
          <w:b/>
          <w:color w:val="000000"/>
          <w:sz w:val="44"/>
          <w:szCs w:val="44"/>
          <w:lang w:val="en-US" w:eastAsia="zh-CN"/>
        </w:rPr>
      </w:pPr>
      <w:r>
        <w:rPr>
          <w:rFonts w:hint="eastAsia" w:cs="宋体"/>
          <w:b/>
          <w:color w:val="000000"/>
          <w:sz w:val="44"/>
          <w:szCs w:val="44"/>
          <w:lang w:val="en-US" w:eastAsia="zh-CN"/>
        </w:rPr>
        <w:t>浙江维连风然传感科技有限公司</w:t>
      </w:r>
    </w:p>
    <w:p>
      <w:pPr>
        <w:jc w:val="center"/>
        <w:rPr>
          <w:rFonts w:hint="eastAsia" w:cs="宋体"/>
          <w:b/>
          <w:color w:val="000000"/>
          <w:sz w:val="44"/>
          <w:szCs w:val="44"/>
          <w:lang w:val="en-US" w:eastAsia="zh-CN"/>
        </w:rPr>
      </w:pPr>
      <w:r>
        <w:rPr>
          <w:rFonts w:hint="eastAsia" w:cs="宋体"/>
          <w:b/>
          <w:color w:val="000000"/>
          <w:sz w:val="44"/>
          <w:szCs w:val="44"/>
          <w:lang w:val="en-US" w:eastAsia="zh-CN"/>
        </w:rPr>
        <w:t>新建年产智能温度传感器200万件</w:t>
      </w:r>
    </w:p>
    <w:p>
      <w:pPr>
        <w:jc w:val="center"/>
        <w:rPr>
          <w:b/>
          <w:spacing w:val="-10"/>
          <w:szCs w:val="21"/>
        </w:rPr>
      </w:pPr>
      <w:r>
        <w:rPr>
          <w:rFonts w:hint="eastAsia" w:cs="宋体"/>
          <w:b/>
          <w:color w:val="000000"/>
          <w:sz w:val="44"/>
          <w:szCs w:val="44"/>
          <w:lang w:val="en-US" w:eastAsia="zh-CN"/>
        </w:rPr>
        <w:t>建设项目</w:t>
      </w:r>
      <w:r>
        <w:rPr>
          <w:rFonts w:hint="eastAsia" w:cs="宋体"/>
          <w:b/>
          <w:color w:val="000000"/>
          <w:sz w:val="44"/>
          <w:szCs w:val="44"/>
          <w:lang w:eastAsia="zh-CN"/>
        </w:rPr>
        <w:t>竣工</w:t>
      </w:r>
      <w:r>
        <w:rPr>
          <w:rFonts w:hint="eastAsia" w:cs="宋体"/>
          <w:b/>
          <w:color w:val="000000"/>
          <w:sz w:val="44"/>
          <w:szCs w:val="44"/>
        </w:rPr>
        <w:t>环境保护验收监测报告</w:t>
      </w:r>
      <w:bookmarkStart w:id="48" w:name="_GoBack"/>
      <w:bookmarkEnd w:id="48"/>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sz w:val="32"/>
          <w:szCs w:val="32"/>
        </w:rPr>
      </w:pPr>
    </w:p>
    <w:p>
      <w:pPr>
        <w:rPr>
          <w:color w:val="FF0000"/>
          <w:sz w:val="32"/>
          <w:szCs w:val="32"/>
        </w:rPr>
      </w:pPr>
    </w:p>
    <w:p>
      <w:pPr>
        <w:rPr>
          <w:color w:val="FF0000"/>
          <w:sz w:val="32"/>
          <w:szCs w:val="32"/>
        </w:rPr>
      </w:pPr>
    </w:p>
    <w:p>
      <w:pPr>
        <w:rPr>
          <w:color w:val="FF0000"/>
          <w:sz w:val="32"/>
          <w:szCs w:val="32"/>
        </w:rPr>
      </w:pPr>
    </w:p>
    <w:p>
      <w:pPr>
        <w:rPr>
          <w:color w:val="FF0000"/>
          <w:sz w:val="32"/>
          <w:szCs w:val="32"/>
        </w:rPr>
      </w:pPr>
    </w:p>
    <w:p>
      <w:pPr>
        <w:jc w:val="center"/>
        <w:rPr>
          <w:color w:val="FF0000"/>
          <w:sz w:val="32"/>
          <w:szCs w:val="32"/>
        </w:rPr>
      </w:pPr>
      <w:r>
        <w:rPr>
          <w:rFonts w:hint="eastAsia"/>
          <w:b/>
          <w:sz w:val="28"/>
          <w:szCs w:val="22"/>
          <w:lang w:eastAsia="zh-CN"/>
        </w:rPr>
        <w:t>建设</w:t>
      </w:r>
      <w:r>
        <w:rPr>
          <w:b/>
          <w:sz w:val="28"/>
          <w:szCs w:val="22"/>
        </w:rPr>
        <w:t>单位：</w:t>
      </w:r>
      <w:r>
        <w:rPr>
          <w:rFonts w:hint="eastAsia"/>
          <w:b/>
          <w:sz w:val="28"/>
          <w:szCs w:val="22"/>
          <w:lang w:val="en-US" w:eastAsia="zh-CN"/>
        </w:rPr>
        <w:t>浙江维连风然传感科技有限公司</w:t>
      </w:r>
    </w:p>
    <w:p>
      <w:pPr>
        <w:spacing w:line="360" w:lineRule="auto"/>
        <w:jc w:val="center"/>
        <w:rPr>
          <w:rFonts w:hint="default" w:eastAsia="宋体"/>
          <w:b/>
          <w:sz w:val="28"/>
          <w:szCs w:val="22"/>
          <w:lang w:val="en-US" w:eastAsia="zh-CN"/>
        </w:rPr>
      </w:pPr>
      <w:r>
        <w:rPr>
          <w:rFonts w:hint="eastAsia"/>
          <w:b/>
          <w:sz w:val="28"/>
          <w:szCs w:val="22"/>
        </w:rPr>
        <w:t>编制</w:t>
      </w:r>
      <w:r>
        <w:rPr>
          <w:b/>
          <w:sz w:val="28"/>
          <w:szCs w:val="22"/>
        </w:rPr>
        <w:t>单位：</w:t>
      </w:r>
      <w:r>
        <w:rPr>
          <w:rFonts w:hint="eastAsia"/>
          <w:b/>
          <w:sz w:val="28"/>
          <w:szCs w:val="22"/>
          <w:lang w:val="en-US" w:eastAsia="zh-CN"/>
        </w:rPr>
        <w:t>浙江维连风然传感科技有限公司</w:t>
      </w:r>
    </w:p>
    <w:p>
      <w:pPr>
        <w:jc w:val="center"/>
        <w:rPr>
          <w:color w:val="FF0000"/>
        </w:rPr>
      </w:pPr>
      <w:r>
        <w:rPr>
          <w:b/>
          <w:sz w:val="28"/>
          <w:szCs w:val="22"/>
        </w:rPr>
        <w:t>二〇二</w:t>
      </w:r>
      <w:r>
        <w:rPr>
          <w:rFonts w:hint="eastAsia"/>
          <w:b/>
          <w:sz w:val="28"/>
          <w:szCs w:val="22"/>
          <w:lang w:eastAsia="zh-CN"/>
        </w:rPr>
        <w:t>三</w:t>
      </w:r>
      <w:r>
        <w:rPr>
          <w:rFonts w:hint="eastAsia"/>
          <w:b/>
          <w:sz w:val="28"/>
          <w:szCs w:val="22"/>
        </w:rPr>
        <w:t>年</w:t>
      </w:r>
      <w:r>
        <w:rPr>
          <w:rFonts w:hint="eastAsia"/>
          <w:b/>
          <w:sz w:val="28"/>
          <w:szCs w:val="22"/>
          <w:lang w:eastAsia="zh-CN"/>
        </w:rPr>
        <w:t>十二</w:t>
      </w:r>
      <w:r>
        <w:rPr>
          <w:b/>
          <w:sz w:val="28"/>
          <w:szCs w:val="22"/>
        </w:rPr>
        <w:t>月</w:t>
      </w:r>
    </w:p>
    <w:p>
      <w:pPr>
        <w:rPr>
          <w:color w:val="FF0000"/>
        </w:rPr>
      </w:pPr>
    </w:p>
    <w:p>
      <w:pPr>
        <w:rPr>
          <w:color w:val="FF0000"/>
        </w:rPr>
      </w:pPr>
    </w:p>
    <w:p>
      <w:pPr>
        <w:jc w:val="left"/>
        <w:rPr>
          <w:color w:val="FF0000"/>
          <w:sz w:val="24"/>
        </w:rPr>
      </w:pPr>
    </w:p>
    <w:p>
      <w:pPr>
        <w:pStyle w:val="2"/>
        <w:rPr>
          <w:color w:val="FF0000"/>
          <w:sz w:val="24"/>
        </w:rPr>
      </w:pPr>
    </w:p>
    <w:p>
      <w:pPr>
        <w:pStyle w:val="3"/>
        <w:rPr>
          <w:color w:val="FF0000"/>
          <w:sz w:val="24"/>
        </w:rPr>
      </w:pPr>
    </w:p>
    <w:p>
      <w:pPr>
        <w:pStyle w:val="3"/>
        <w:numPr>
          <w:ilvl w:val="0"/>
          <w:numId w:val="0"/>
        </w:numPr>
        <w:jc w:val="center"/>
        <w:rPr>
          <w:rFonts w:hint="eastAsia"/>
          <w:b/>
          <w:bCs/>
          <w:sz w:val="44"/>
          <w:szCs w:val="44"/>
          <w:lang w:eastAsia="zh-CN"/>
        </w:rPr>
      </w:pPr>
    </w:p>
    <w:p>
      <w:pPr>
        <w:pStyle w:val="3"/>
        <w:numPr>
          <w:ilvl w:val="0"/>
          <w:numId w:val="0"/>
        </w:numPr>
        <w:jc w:val="center"/>
        <w:rPr>
          <w:rFonts w:hint="eastAsia"/>
          <w:b/>
          <w:bCs/>
          <w:sz w:val="44"/>
          <w:szCs w:val="44"/>
          <w:lang w:eastAsia="zh-CN"/>
        </w:rPr>
      </w:pPr>
    </w:p>
    <w:p>
      <w:pPr>
        <w:rPr>
          <w:rFonts w:hint="eastAsia"/>
          <w:lang w:eastAsia="zh-CN"/>
        </w:rPr>
      </w:pPr>
    </w:p>
    <w:p>
      <w:pPr>
        <w:pStyle w:val="3"/>
        <w:numPr>
          <w:ilvl w:val="0"/>
          <w:numId w:val="0"/>
        </w:numPr>
        <w:jc w:val="center"/>
        <w:rPr>
          <w:rFonts w:hint="eastAsia"/>
          <w:lang w:eastAsia="zh-CN"/>
        </w:rPr>
      </w:pPr>
      <w:r>
        <w:rPr>
          <w:rFonts w:hint="eastAsia"/>
          <w:b/>
          <w:bCs/>
          <w:sz w:val="44"/>
          <w:szCs w:val="44"/>
          <w:lang w:eastAsia="zh-CN"/>
        </w:rPr>
        <w:t>目</w:t>
      </w:r>
      <w:r>
        <w:rPr>
          <w:rFonts w:hint="eastAsia"/>
          <w:b/>
          <w:bCs/>
          <w:sz w:val="44"/>
          <w:szCs w:val="44"/>
          <w:lang w:val="en-US" w:eastAsia="zh-CN"/>
        </w:rPr>
        <w:t xml:space="preserve">  </w:t>
      </w:r>
      <w:r>
        <w:rPr>
          <w:rFonts w:hint="eastAsia"/>
          <w:b/>
          <w:bCs/>
          <w:sz w:val="44"/>
          <w:szCs w:val="44"/>
          <w:lang w:eastAsia="zh-CN"/>
        </w:rPr>
        <w:t>录</w:t>
      </w:r>
    </w:p>
    <w:p>
      <w:pPr>
        <w:rPr>
          <w:rFonts w:hint="eastAsia"/>
          <w:lang w:eastAsia="zh-CN"/>
        </w:rPr>
      </w:pPr>
    </w:p>
    <w:p>
      <w:pPr>
        <w:pStyle w:val="2"/>
        <w:rPr>
          <w:rFonts w:hint="eastAsia"/>
          <w:lang w:eastAsia="zh-CN"/>
        </w:rPr>
      </w:pPr>
    </w:p>
    <w:p>
      <w:pPr>
        <w:pStyle w:val="3"/>
        <w:rPr>
          <w:rFonts w:hint="eastAsia"/>
          <w:lang w:eastAsia="zh-CN"/>
        </w:rPr>
      </w:pPr>
    </w:p>
    <w:p>
      <w:pPr>
        <w:pStyle w:val="3"/>
        <w:numPr>
          <w:ilvl w:val="0"/>
          <w:numId w:val="0"/>
        </w:numPr>
        <w:ind w:firstLine="300" w:firstLineChars="100"/>
        <w:rPr>
          <w:rFonts w:hint="eastAsia"/>
          <w:sz w:val="30"/>
          <w:szCs w:val="30"/>
          <w:lang w:eastAsia="zh-CN"/>
        </w:rPr>
      </w:pPr>
      <w:r>
        <w:rPr>
          <w:rFonts w:hint="eastAsia"/>
          <w:sz w:val="30"/>
          <w:szCs w:val="30"/>
          <w:lang w:eastAsia="zh-CN"/>
        </w:rPr>
        <w:t>一、验</w:t>
      </w:r>
      <w:r>
        <w:rPr>
          <w:rFonts w:hint="eastAsia"/>
          <w:sz w:val="30"/>
          <w:szCs w:val="30"/>
          <w:lang w:val="en-US" w:eastAsia="zh-CN"/>
        </w:rPr>
        <w:t xml:space="preserve"> </w:t>
      </w:r>
      <w:r>
        <w:rPr>
          <w:rFonts w:hint="eastAsia"/>
          <w:sz w:val="30"/>
          <w:szCs w:val="30"/>
          <w:lang w:eastAsia="zh-CN"/>
        </w:rPr>
        <w:t>收</w:t>
      </w:r>
      <w:r>
        <w:rPr>
          <w:rFonts w:hint="eastAsia"/>
          <w:sz w:val="30"/>
          <w:szCs w:val="30"/>
          <w:lang w:val="en-US" w:eastAsia="zh-CN"/>
        </w:rPr>
        <w:t xml:space="preserve"> </w:t>
      </w:r>
      <w:r>
        <w:rPr>
          <w:rFonts w:hint="eastAsia"/>
          <w:sz w:val="30"/>
          <w:szCs w:val="30"/>
          <w:lang w:eastAsia="zh-CN"/>
        </w:rPr>
        <w:t>监</w:t>
      </w:r>
      <w:r>
        <w:rPr>
          <w:rFonts w:hint="eastAsia"/>
          <w:sz w:val="30"/>
          <w:szCs w:val="30"/>
          <w:lang w:val="en-US" w:eastAsia="zh-CN"/>
        </w:rPr>
        <w:t xml:space="preserve"> </w:t>
      </w:r>
      <w:r>
        <w:rPr>
          <w:rFonts w:hint="eastAsia"/>
          <w:sz w:val="30"/>
          <w:szCs w:val="30"/>
          <w:lang w:eastAsia="zh-CN"/>
        </w:rPr>
        <w:t>测</w:t>
      </w:r>
      <w:r>
        <w:rPr>
          <w:rFonts w:hint="eastAsia"/>
          <w:sz w:val="30"/>
          <w:szCs w:val="30"/>
          <w:lang w:val="en-US" w:eastAsia="zh-CN"/>
        </w:rPr>
        <w:t xml:space="preserve"> </w:t>
      </w:r>
      <w:r>
        <w:rPr>
          <w:rFonts w:hint="eastAsia"/>
          <w:sz w:val="30"/>
          <w:szCs w:val="30"/>
          <w:lang w:eastAsia="zh-CN"/>
        </w:rPr>
        <w:t>报</w:t>
      </w:r>
      <w:r>
        <w:rPr>
          <w:rFonts w:hint="eastAsia"/>
          <w:sz w:val="30"/>
          <w:szCs w:val="30"/>
          <w:lang w:val="en-US" w:eastAsia="zh-CN"/>
        </w:rPr>
        <w:t xml:space="preserve"> </w:t>
      </w:r>
      <w:r>
        <w:rPr>
          <w:rFonts w:hint="eastAsia"/>
          <w:sz w:val="30"/>
          <w:szCs w:val="30"/>
          <w:lang w:eastAsia="zh-CN"/>
        </w:rPr>
        <w:t>告</w:t>
      </w:r>
      <w:r>
        <w:rPr>
          <w:rFonts w:hint="eastAsia"/>
          <w:sz w:val="30"/>
          <w:szCs w:val="30"/>
          <w:lang w:val="en-US" w:eastAsia="zh-CN"/>
        </w:rPr>
        <w:t xml:space="preserve"> </w:t>
      </w:r>
      <w:r>
        <w:rPr>
          <w:rFonts w:hint="eastAsia"/>
          <w:sz w:val="30"/>
          <w:szCs w:val="30"/>
          <w:lang w:eastAsia="zh-CN"/>
        </w:rPr>
        <w:t>表</w:t>
      </w:r>
    </w:p>
    <w:p>
      <w:pPr>
        <w:pStyle w:val="2"/>
        <w:rPr>
          <w:rFonts w:hint="eastAsia"/>
          <w:lang w:eastAsia="zh-CN"/>
        </w:rPr>
      </w:pPr>
    </w:p>
    <w:p>
      <w:pPr>
        <w:pStyle w:val="3"/>
        <w:rPr>
          <w:rFonts w:hint="eastAsia"/>
          <w:lang w:eastAsia="zh-CN"/>
        </w:rPr>
      </w:pPr>
    </w:p>
    <w:p>
      <w:pPr>
        <w:numPr>
          <w:ilvl w:val="0"/>
          <w:numId w:val="0"/>
        </w:numPr>
        <w:ind w:firstLine="300" w:firstLineChars="100"/>
        <w:rPr>
          <w:rFonts w:hint="eastAsia"/>
          <w:sz w:val="30"/>
          <w:szCs w:val="30"/>
          <w:lang w:val="en-US" w:eastAsia="zh-CN"/>
        </w:rPr>
      </w:pPr>
      <w:r>
        <w:rPr>
          <w:rFonts w:hint="eastAsia"/>
          <w:sz w:val="30"/>
          <w:szCs w:val="30"/>
          <w:lang w:val="en-US" w:eastAsia="zh-CN"/>
        </w:rPr>
        <w:t>二、验 收 意 见 及 签 到 表</w:t>
      </w:r>
    </w:p>
    <w:p>
      <w:pPr>
        <w:pStyle w:val="2"/>
        <w:numPr>
          <w:ilvl w:val="0"/>
          <w:numId w:val="0"/>
        </w:numPr>
        <w:ind w:leftChars="0"/>
        <w:rPr>
          <w:rFonts w:hint="eastAsia"/>
          <w:lang w:val="en-US" w:eastAsia="zh-CN"/>
        </w:rPr>
      </w:pPr>
    </w:p>
    <w:p>
      <w:pPr>
        <w:pStyle w:val="3"/>
        <w:rPr>
          <w:rFonts w:hint="eastAsia"/>
          <w:lang w:val="en-US" w:eastAsia="zh-CN"/>
        </w:rPr>
      </w:pPr>
    </w:p>
    <w:p>
      <w:pPr>
        <w:ind w:firstLine="300" w:firstLineChars="100"/>
        <w:rPr>
          <w:color w:val="FF0000"/>
          <w:sz w:val="24"/>
        </w:rPr>
      </w:pPr>
      <w:r>
        <w:rPr>
          <w:rFonts w:hint="eastAsia"/>
          <w:sz w:val="30"/>
          <w:szCs w:val="30"/>
          <w:lang w:val="en-US" w:eastAsia="zh-CN"/>
        </w:rPr>
        <w:t>三、其 他 说 明 事 项</w:t>
      </w:r>
    </w:p>
    <w:p>
      <w:pPr>
        <w:pStyle w:val="2"/>
        <w:rPr>
          <w:color w:val="FF0000"/>
          <w:sz w:val="24"/>
        </w:rPr>
      </w:pPr>
    </w:p>
    <w:p>
      <w:pPr>
        <w:pStyle w:val="3"/>
        <w:rPr>
          <w:color w:val="FF0000"/>
          <w:sz w:val="24"/>
        </w:rPr>
      </w:pPr>
    </w:p>
    <w:p>
      <w:pPr>
        <w:rPr>
          <w:color w:val="FF0000"/>
          <w:sz w:val="24"/>
        </w:rPr>
      </w:pPr>
    </w:p>
    <w:p>
      <w:pPr>
        <w:pStyle w:val="2"/>
      </w:pPr>
    </w:p>
    <w:p>
      <w:pPr>
        <w:pStyle w:val="3"/>
      </w:pPr>
    </w:p>
    <w:p/>
    <w:p>
      <w:pPr>
        <w:pStyle w:val="2"/>
      </w:pPr>
    </w:p>
    <w:p>
      <w:pPr>
        <w:pStyle w:val="3"/>
      </w:pPr>
    </w:p>
    <w:p/>
    <w:p>
      <w:pPr>
        <w:pStyle w:val="2"/>
      </w:pPr>
    </w:p>
    <w:p>
      <w:pPr>
        <w:pStyle w:val="3"/>
      </w:pPr>
    </w:p>
    <w:p/>
    <w:p>
      <w:pPr>
        <w:pStyle w:val="2"/>
      </w:pPr>
    </w:p>
    <w:p>
      <w:pPr>
        <w:pStyle w:val="3"/>
      </w:pPr>
    </w:p>
    <w:p/>
    <w:p>
      <w:pPr>
        <w:pStyle w:val="2"/>
      </w:pPr>
    </w:p>
    <w:p>
      <w:pPr>
        <w:pStyle w:val="3"/>
      </w:pPr>
    </w:p>
    <w:p/>
    <w:p>
      <w:pPr>
        <w:pStyle w:val="2"/>
      </w:pPr>
    </w:p>
    <w:p>
      <w:pPr>
        <w:pStyle w:val="3"/>
      </w:pPr>
    </w:p>
    <w:p/>
    <w:p>
      <w:pPr>
        <w:pStyle w:val="2"/>
      </w:pPr>
    </w:p>
    <w:p>
      <w:pPr>
        <w:pStyle w:val="3"/>
      </w:pPr>
    </w:p>
    <w:p/>
    <w:p>
      <w:pPr>
        <w:pStyle w:val="2"/>
      </w:pPr>
    </w:p>
    <w:p>
      <w:pPr>
        <w:pStyle w:val="3"/>
      </w:pPr>
    </w:p>
    <w:p>
      <w:pPr>
        <w:jc w:val="center"/>
        <w:rPr>
          <w:rFonts w:hint="eastAsia" w:cs="宋体"/>
          <w:b/>
          <w:color w:val="000000"/>
          <w:sz w:val="44"/>
          <w:szCs w:val="44"/>
          <w:lang w:val="en-US" w:eastAsia="zh-CN"/>
        </w:rPr>
      </w:pPr>
      <w:r>
        <w:rPr>
          <w:rFonts w:hint="eastAsia" w:cs="宋体"/>
          <w:b/>
          <w:color w:val="000000"/>
          <w:sz w:val="44"/>
          <w:szCs w:val="44"/>
          <w:lang w:val="en-US" w:eastAsia="zh-CN"/>
        </w:rPr>
        <w:t>浙江维连风然传感科技有限公司</w:t>
      </w:r>
    </w:p>
    <w:p>
      <w:pPr>
        <w:jc w:val="center"/>
        <w:rPr>
          <w:rFonts w:hint="eastAsia" w:cs="宋体"/>
          <w:b/>
          <w:color w:val="000000"/>
          <w:sz w:val="44"/>
          <w:szCs w:val="44"/>
          <w:lang w:val="en-US" w:eastAsia="zh-CN"/>
        </w:rPr>
      </w:pPr>
      <w:r>
        <w:rPr>
          <w:rFonts w:hint="eastAsia" w:cs="宋体"/>
          <w:b/>
          <w:color w:val="000000"/>
          <w:sz w:val="44"/>
          <w:szCs w:val="44"/>
          <w:lang w:val="en-US" w:eastAsia="zh-CN"/>
        </w:rPr>
        <w:t>新建年产智能温度传感器200万件</w:t>
      </w:r>
    </w:p>
    <w:p>
      <w:pPr>
        <w:jc w:val="center"/>
        <w:rPr>
          <w:b/>
          <w:spacing w:val="-10"/>
          <w:szCs w:val="21"/>
        </w:rPr>
      </w:pPr>
      <w:r>
        <w:rPr>
          <w:rFonts w:hint="eastAsia" w:cs="宋体"/>
          <w:b/>
          <w:color w:val="000000"/>
          <w:sz w:val="44"/>
          <w:szCs w:val="44"/>
          <w:lang w:val="en-US" w:eastAsia="zh-CN"/>
        </w:rPr>
        <w:t>建设项目</w:t>
      </w:r>
      <w:r>
        <w:rPr>
          <w:rFonts w:hint="eastAsia" w:cs="宋体"/>
          <w:b/>
          <w:color w:val="000000"/>
          <w:sz w:val="44"/>
          <w:szCs w:val="44"/>
          <w:lang w:eastAsia="zh-CN"/>
        </w:rPr>
        <w:t>竣工</w:t>
      </w:r>
      <w:r>
        <w:rPr>
          <w:rFonts w:hint="eastAsia" w:cs="宋体"/>
          <w:b/>
          <w:color w:val="000000"/>
          <w:sz w:val="44"/>
          <w:szCs w:val="44"/>
        </w:rPr>
        <w:t>环境保护验收监测报告表</w:t>
      </w: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rPr>
      </w:pPr>
    </w:p>
    <w:p>
      <w:pPr>
        <w:rPr>
          <w:color w:val="FF0000"/>
          <w:sz w:val="32"/>
          <w:szCs w:val="32"/>
        </w:rPr>
      </w:pPr>
    </w:p>
    <w:p>
      <w:pPr>
        <w:rPr>
          <w:color w:val="FF0000"/>
          <w:sz w:val="32"/>
          <w:szCs w:val="32"/>
        </w:rPr>
      </w:pPr>
    </w:p>
    <w:p>
      <w:pPr>
        <w:rPr>
          <w:color w:val="FF0000"/>
          <w:sz w:val="32"/>
          <w:szCs w:val="32"/>
        </w:rPr>
      </w:pPr>
    </w:p>
    <w:p>
      <w:pPr>
        <w:rPr>
          <w:color w:val="FF0000"/>
          <w:sz w:val="32"/>
          <w:szCs w:val="32"/>
        </w:rPr>
      </w:pPr>
    </w:p>
    <w:p>
      <w:pPr>
        <w:rPr>
          <w:color w:val="FF0000"/>
          <w:sz w:val="32"/>
          <w:szCs w:val="32"/>
        </w:rPr>
      </w:pPr>
    </w:p>
    <w:p>
      <w:pPr>
        <w:jc w:val="center"/>
        <w:rPr>
          <w:color w:val="FF0000"/>
          <w:sz w:val="32"/>
          <w:szCs w:val="32"/>
        </w:rPr>
      </w:pPr>
      <w:r>
        <w:rPr>
          <w:rFonts w:hint="eastAsia"/>
          <w:b/>
          <w:sz w:val="28"/>
          <w:szCs w:val="22"/>
          <w:lang w:eastAsia="zh-CN"/>
        </w:rPr>
        <w:t>建设</w:t>
      </w:r>
      <w:r>
        <w:rPr>
          <w:b/>
          <w:sz w:val="28"/>
          <w:szCs w:val="22"/>
        </w:rPr>
        <w:t>单位：</w:t>
      </w:r>
      <w:r>
        <w:rPr>
          <w:rFonts w:hint="eastAsia"/>
          <w:b/>
          <w:sz w:val="28"/>
          <w:szCs w:val="22"/>
          <w:lang w:val="en-US" w:eastAsia="zh-CN"/>
        </w:rPr>
        <w:t>浙江维连风然传感科技有限公司</w:t>
      </w:r>
    </w:p>
    <w:p>
      <w:pPr>
        <w:spacing w:line="360" w:lineRule="auto"/>
        <w:jc w:val="center"/>
        <w:rPr>
          <w:rFonts w:hint="default" w:eastAsia="宋体"/>
          <w:b/>
          <w:sz w:val="28"/>
          <w:szCs w:val="22"/>
          <w:lang w:val="en-US" w:eastAsia="zh-CN"/>
        </w:rPr>
      </w:pPr>
      <w:r>
        <w:rPr>
          <w:rFonts w:hint="eastAsia"/>
          <w:b/>
          <w:sz w:val="28"/>
          <w:szCs w:val="22"/>
        </w:rPr>
        <w:t>编制</w:t>
      </w:r>
      <w:r>
        <w:rPr>
          <w:b/>
          <w:sz w:val="28"/>
          <w:szCs w:val="22"/>
        </w:rPr>
        <w:t>单位：</w:t>
      </w:r>
      <w:r>
        <w:rPr>
          <w:rFonts w:hint="eastAsia"/>
          <w:b/>
          <w:sz w:val="28"/>
          <w:szCs w:val="22"/>
          <w:lang w:val="en-US" w:eastAsia="zh-CN"/>
        </w:rPr>
        <w:t>浙江维连风然传感科技有限公司</w:t>
      </w:r>
    </w:p>
    <w:p>
      <w:pPr>
        <w:spacing w:line="360" w:lineRule="auto"/>
        <w:jc w:val="center"/>
        <w:rPr>
          <w:b/>
          <w:sz w:val="28"/>
          <w:szCs w:val="22"/>
        </w:rPr>
      </w:pPr>
      <w:r>
        <w:rPr>
          <w:b/>
          <w:sz w:val="28"/>
          <w:szCs w:val="22"/>
        </w:rPr>
        <w:t>二〇二</w:t>
      </w:r>
      <w:r>
        <w:rPr>
          <w:rFonts w:hint="eastAsia"/>
          <w:b/>
          <w:sz w:val="28"/>
          <w:szCs w:val="22"/>
          <w:lang w:eastAsia="zh-CN"/>
        </w:rPr>
        <w:t>三</w:t>
      </w:r>
      <w:r>
        <w:rPr>
          <w:rFonts w:hint="eastAsia"/>
          <w:b/>
          <w:sz w:val="28"/>
          <w:szCs w:val="22"/>
        </w:rPr>
        <w:t>年</w:t>
      </w:r>
      <w:r>
        <w:rPr>
          <w:rFonts w:hint="eastAsia"/>
          <w:b/>
          <w:sz w:val="28"/>
          <w:szCs w:val="22"/>
          <w:lang w:eastAsia="zh-CN"/>
        </w:rPr>
        <w:t>十一</w:t>
      </w:r>
      <w:r>
        <w:rPr>
          <w:b/>
          <w:sz w:val="28"/>
          <w:szCs w:val="22"/>
        </w:rPr>
        <w:t>月</w:t>
      </w:r>
    </w:p>
    <w:p>
      <w:pPr>
        <w:rPr>
          <w:b/>
          <w:color w:val="FF0000"/>
          <w:sz w:val="28"/>
        </w:rPr>
      </w:pPr>
    </w:p>
    <w:p>
      <w:pPr>
        <w:rPr>
          <w:b/>
          <w:color w:val="FF0000"/>
          <w:sz w:val="28"/>
        </w:rPr>
      </w:pPr>
    </w:p>
    <w:p>
      <w:pPr>
        <w:spacing w:after="156" w:afterLines="50" w:line="480" w:lineRule="auto"/>
        <w:rPr>
          <w:b/>
          <w:bCs/>
          <w:color w:val="FF0000"/>
          <w:sz w:val="36"/>
          <w:szCs w:val="36"/>
        </w:rPr>
        <w:sectPr>
          <w:headerReference r:id="rId3" w:type="default"/>
          <w:pgSz w:w="12240" w:h="15840"/>
          <w:pgMar w:top="1440" w:right="1800" w:bottom="1440" w:left="1800" w:header="720" w:footer="720" w:gutter="0"/>
          <w:pgNumType w:fmt="upperRoman" w:start="1"/>
          <w:cols w:space="720" w:num="1"/>
          <w:titlePg/>
          <w:docGrid w:type="lines" w:linePitch="312" w:charSpace="0"/>
        </w:sectPr>
      </w:pPr>
    </w:p>
    <w:p>
      <w:pPr>
        <w:tabs>
          <w:tab w:val="left" w:pos="5445"/>
        </w:tabs>
        <w:jc w:val="center"/>
        <w:rPr>
          <w:b/>
          <w:sz w:val="36"/>
          <w:szCs w:val="32"/>
        </w:rPr>
      </w:pPr>
      <w:bookmarkStart w:id="0" w:name="_Toc17630"/>
      <w:bookmarkStart w:id="1" w:name="_Toc8329"/>
      <w:bookmarkStart w:id="2" w:name="_Toc30598"/>
      <w:r>
        <w:rPr>
          <w:b/>
          <w:sz w:val="36"/>
          <w:szCs w:val="32"/>
        </w:rPr>
        <w:t>目</w:t>
      </w:r>
      <w:r>
        <w:rPr>
          <w:rFonts w:hint="eastAsia"/>
          <w:b/>
          <w:sz w:val="36"/>
          <w:szCs w:val="32"/>
        </w:rPr>
        <w:t xml:space="preserve">  </w:t>
      </w:r>
      <w:r>
        <w:rPr>
          <w:b/>
          <w:sz w:val="36"/>
          <w:szCs w:val="32"/>
        </w:rPr>
        <w:t>录</w:t>
      </w:r>
    </w:p>
    <w:p>
      <w:pPr>
        <w:pStyle w:val="71"/>
        <w:tabs>
          <w:tab w:val="right" w:leader="dot" w:pos="8640"/>
        </w:tabs>
        <w:spacing w:line="360" w:lineRule="auto"/>
        <w:rPr>
          <w:b/>
          <w:color w:val="FF0000"/>
          <w:sz w:val="24"/>
        </w:rPr>
      </w:pPr>
    </w:p>
    <w:p>
      <w:pPr>
        <w:pStyle w:val="3"/>
        <w:tabs>
          <w:tab w:val="right" w:leader="dot" w:pos="8640"/>
        </w:tabs>
        <w:rPr>
          <w:sz w:val="28"/>
          <w:szCs w:val="28"/>
        </w:rPr>
      </w:pPr>
      <w:r>
        <w:rPr>
          <w:rFonts w:hint="default" w:ascii="Times New Roman" w:hAnsi="Times New Roman" w:eastAsia="宋体" w:cs="Times New Roman"/>
          <w:b/>
          <w:bCs/>
          <w:color w:val="FF0000"/>
          <w:sz w:val="28"/>
          <w:szCs w:val="28"/>
          <w:lang w:val="en-US"/>
        </w:rPr>
        <w:fldChar w:fldCharType="begin"/>
      </w:r>
      <w:r>
        <w:rPr>
          <w:rFonts w:hint="default" w:ascii="Times New Roman" w:hAnsi="Times New Roman" w:eastAsia="宋体" w:cs="Times New Roman"/>
          <w:b/>
          <w:bCs/>
          <w:color w:val="FF0000"/>
          <w:sz w:val="28"/>
          <w:szCs w:val="28"/>
          <w:lang w:val="en-US"/>
        </w:rPr>
        <w:instrText xml:space="preserve"> TOC \o "1-1" \h \u </w:instrText>
      </w:r>
      <w:r>
        <w:rPr>
          <w:rFonts w:hint="default" w:ascii="Times New Roman" w:hAnsi="Times New Roman" w:eastAsia="宋体" w:cs="Times New Roman"/>
          <w:b/>
          <w:bCs/>
          <w:color w:val="FF0000"/>
          <w:sz w:val="28"/>
          <w:szCs w:val="28"/>
          <w:lang w:val="en-US"/>
        </w:rPr>
        <w:fldChar w:fldCharType="separate"/>
      </w: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_Toc18533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 xml:space="preserve">表一 </w:t>
      </w:r>
      <w:r>
        <w:rPr>
          <w:rFonts w:hint="eastAsia" w:ascii="宋体" w:hAnsi="宋体" w:eastAsia="宋体" w:cs="宋体"/>
          <w:sz w:val="28"/>
          <w:szCs w:val="28"/>
          <w:lang w:eastAsia="zh-CN"/>
        </w:rPr>
        <w:t>验收</w:t>
      </w:r>
      <w:r>
        <w:rPr>
          <w:rFonts w:hint="eastAsia" w:ascii="宋体" w:hAnsi="宋体" w:eastAsia="宋体" w:cs="宋体"/>
          <w:sz w:val="28"/>
          <w:szCs w:val="28"/>
        </w:rPr>
        <w:t>项目概况、验收依据及验收评价标准</w:t>
      </w:r>
      <w:r>
        <w:rPr>
          <w:sz w:val="28"/>
          <w:szCs w:val="28"/>
        </w:rPr>
        <w:tab/>
      </w:r>
      <w:r>
        <w:rPr>
          <w:sz w:val="28"/>
          <w:szCs w:val="28"/>
        </w:rPr>
        <w:fldChar w:fldCharType="begin"/>
      </w:r>
      <w:r>
        <w:rPr>
          <w:sz w:val="28"/>
          <w:szCs w:val="28"/>
        </w:rPr>
        <w:instrText xml:space="preserve"> PAGEREF _Toc18533 \h </w:instrText>
      </w:r>
      <w:r>
        <w:rPr>
          <w:sz w:val="28"/>
          <w:szCs w:val="28"/>
        </w:rPr>
        <w:fldChar w:fldCharType="separate"/>
      </w:r>
      <w:r>
        <w:rPr>
          <w:sz w:val="28"/>
          <w:szCs w:val="28"/>
        </w:rPr>
        <w:t>1</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_Toc11456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 xml:space="preserve">表二 </w:t>
      </w:r>
      <w:r>
        <w:rPr>
          <w:rFonts w:hint="eastAsia" w:ascii="宋体" w:hAnsi="宋体" w:eastAsia="宋体" w:cs="宋体"/>
          <w:sz w:val="28"/>
          <w:szCs w:val="28"/>
          <w:lang w:eastAsia="zh-CN"/>
        </w:rPr>
        <w:t>验收</w:t>
      </w:r>
      <w:r>
        <w:rPr>
          <w:rFonts w:hint="eastAsia" w:ascii="宋体" w:hAnsi="宋体" w:eastAsia="宋体" w:cs="宋体"/>
          <w:sz w:val="28"/>
          <w:szCs w:val="28"/>
        </w:rPr>
        <w:t>项目建设内容</w:t>
      </w:r>
      <w:r>
        <w:rPr>
          <w:sz w:val="28"/>
          <w:szCs w:val="28"/>
        </w:rPr>
        <w:tab/>
      </w:r>
      <w:r>
        <w:rPr>
          <w:sz w:val="28"/>
          <w:szCs w:val="28"/>
        </w:rPr>
        <w:fldChar w:fldCharType="begin"/>
      </w:r>
      <w:r>
        <w:rPr>
          <w:sz w:val="28"/>
          <w:szCs w:val="28"/>
        </w:rPr>
        <w:instrText xml:space="preserve"> PAGEREF _Toc11456 \h </w:instrText>
      </w:r>
      <w:r>
        <w:rPr>
          <w:sz w:val="28"/>
          <w:szCs w:val="28"/>
        </w:rPr>
        <w:fldChar w:fldCharType="separate"/>
      </w:r>
      <w:r>
        <w:rPr>
          <w:sz w:val="28"/>
          <w:szCs w:val="28"/>
        </w:rPr>
        <w:t>5</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_Toc4037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表三  主要污染源、污染物处理和排放</w:t>
      </w:r>
      <w:r>
        <w:rPr>
          <w:sz w:val="28"/>
          <w:szCs w:val="28"/>
        </w:rPr>
        <w:tab/>
      </w:r>
      <w:r>
        <w:rPr>
          <w:sz w:val="28"/>
          <w:szCs w:val="28"/>
        </w:rPr>
        <w:fldChar w:fldCharType="begin"/>
      </w:r>
      <w:r>
        <w:rPr>
          <w:sz w:val="28"/>
          <w:szCs w:val="28"/>
        </w:rPr>
        <w:instrText xml:space="preserve"> PAGEREF _Toc4037 \h </w:instrText>
      </w:r>
      <w:r>
        <w:rPr>
          <w:sz w:val="28"/>
          <w:szCs w:val="28"/>
        </w:rPr>
        <w:fldChar w:fldCharType="separate"/>
      </w:r>
      <w:r>
        <w:rPr>
          <w:sz w:val="28"/>
          <w:szCs w:val="28"/>
        </w:rPr>
        <w:t>11</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_Toc15719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表四  建设项目环境影报告表主要结论及项目“三同时”落实情况</w:t>
      </w:r>
      <w:r>
        <w:rPr>
          <w:sz w:val="28"/>
          <w:szCs w:val="28"/>
        </w:rPr>
        <w:tab/>
      </w:r>
      <w:r>
        <w:rPr>
          <w:sz w:val="28"/>
          <w:szCs w:val="28"/>
        </w:rPr>
        <w:fldChar w:fldCharType="begin"/>
      </w:r>
      <w:r>
        <w:rPr>
          <w:sz w:val="28"/>
          <w:szCs w:val="28"/>
        </w:rPr>
        <w:instrText xml:space="preserve"> PAGEREF _Toc15719 \h </w:instrText>
      </w:r>
      <w:r>
        <w:rPr>
          <w:sz w:val="28"/>
          <w:szCs w:val="28"/>
        </w:rPr>
        <w:fldChar w:fldCharType="separate"/>
      </w:r>
      <w:r>
        <w:rPr>
          <w:sz w:val="28"/>
          <w:szCs w:val="28"/>
        </w:rPr>
        <w:t>14</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_Toc23454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表五  验收监测质量保证及质量控制</w:t>
      </w:r>
      <w:r>
        <w:rPr>
          <w:sz w:val="28"/>
          <w:szCs w:val="28"/>
        </w:rPr>
        <w:tab/>
      </w:r>
      <w:r>
        <w:rPr>
          <w:sz w:val="28"/>
          <w:szCs w:val="28"/>
        </w:rPr>
        <w:fldChar w:fldCharType="begin"/>
      </w:r>
      <w:r>
        <w:rPr>
          <w:sz w:val="28"/>
          <w:szCs w:val="28"/>
        </w:rPr>
        <w:instrText xml:space="preserve"> PAGEREF _Toc23454 \h </w:instrText>
      </w:r>
      <w:r>
        <w:rPr>
          <w:sz w:val="28"/>
          <w:szCs w:val="28"/>
        </w:rPr>
        <w:fldChar w:fldCharType="separate"/>
      </w:r>
      <w:r>
        <w:rPr>
          <w:sz w:val="28"/>
          <w:szCs w:val="28"/>
        </w:rPr>
        <w:t>16</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_Toc18963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表六  验收监测内容</w:t>
      </w:r>
      <w:r>
        <w:rPr>
          <w:sz w:val="28"/>
          <w:szCs w:val="28"/>
        </w:rPr>
        <w:tab/>
      </w:r>
      <w:r>
        <w:rPr>
          <w:sz w:val="28"/>
          <w:szCs w:val="28"/>
        </w:rPr>
        <w:fldChar w:fldCharType="begin"/>
      </w:r>
      <w:r>
        <w:rPr>
          <w:sz w:val="28"/>
          <w:szCs w:val="28"/>
        </w:rPr>
        <w:instrText xml:space="preserve"> PAGEREF _Toc18963 \h </w:instrText>
      </w:r>
      <w:r>
        <w:rPr>
          <w:sz w:val="28"/>
          <w:szCs w:val="28"/>
        </w:rPr>
        <w:fldChar w:fldCharType="separate"/>
      </w:r>
      <w:r>
        <w:rPr>
          <w:sz w:val="28"/>
          <w:szCs w:val="28"/>
        </w:rPr>
        <w:t>21</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_Toc10263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表七  验收监测结果</w:t>
      </w:r>
      <w:r>
        <w:rPr>
          <w:sz w:val="28"/>
          <w:szCs w:val="28"/>
        </w:rPr>
        <w:tab/>
      </w:r>
      <w:r>
        <w:rPr>
          <w:sz w:val="28"/>
          <w:szCs w:val="28"/>
        </w:rPr>
        <w:fldChar w:fldCharType="begin"/>
      </w:r>
      <w:r>
        <w:rPr>
          <w:sz w:val="28"/>
          <w:szCs w:val="28"/>
        </w:rPr>
        <w:instrText xml:space="preserve"> PAGEREF _Toc10263 \h </w:instrText>
      </w:r>
      <w:r>
        <w:rPr>
          <w:sz w:val="28"/>
          <w:szCs w:val="28"/>
        </w:rPr>
        <w:fldChar w:fldCharType="separate"/>
      </w:r>
      <w:r>
        <w:rPr>
          <w:sz w:val="28"/>
          <w:szCs w:val="28"/>
        </w:rPr>
        <w:t>23</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_Toc17360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 xml:space="preserve">表八  </w:t>
      </w:r>
      <w:r>
        <w:rPr>
          <w:rFonts w:hint="eastAsia" w:ascii="宋体" w:hAnsi="宋体" w:eastAsia="宋体" w:cs="宋体"/>
          <w:sz w:val="28"/>
          <w:szCs w:val="28"/>
          <w:lang w:eastAsia="zh-CN"/>
        </w:rPr>
        <w:t>项目建设落实情况</w:t>
      </w:r>
      <w:r>
        <w:rPr>
          <w:sz w:val="28"/>
          <w:szCs w:val="28"/>
        </w:rPr>
        <w:tab/>
      </w:r>
      <w:r>
        <w:rPr>
          <w:sz w:val="28"/>
          <w:szCs w:val="28"/>
        </w:rPr>
        <w:fldChar w:fldCharType="begin"/>
      </w:r>
      <w:r>
        <w:rPr>
          <w:sz w:val="28"/>
          <w:szCs w:val="28"/>
        </w:rPr>
        <w:instrText xml:space="preserve"> PAGEREF _Toc17360 \h </w:instrText>
      </w:r>
      <w:r>
        <w:rPr>
          <w:sz w:val="28"/>
          <w:szCs w:val="28"/>
        </w:rPr>
        <w:fldChar w:fldCharType="separate"/>
      </w:r>
      <w:r>
        <w:rPr>
          <w:sz w:val="28"/>
          <w:szCs w:val="28"/>
        </w:rPr>
        <w:t>29</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tabs>
          <w:tab w:val="right" w:leader="dot" w:pos="8640"/>
        </w:tabs>
        <w:rPr>
          <w:sz w:val="28"/>
          <w:szCs w:val="28"/>
        </w:rPr>
      </w:pPr>
      <w:r>
        <w:rPr>
          <w:rFonts w:hint="default" w:ascii="Times New Roman" w:hAnsi="Times New Roman" w:eastAsia="宋体" w:cs="Times New Roman"/>
          <w:bCs/>
          <w:color w:val="FF0000"/>
          <w:sz w:val="28"/>
          <w:szCs w:val="28"/>
          <w:lang w:val="en-US"/>
        </w:rPr>
        <w:fldChar w:fldCharType="begin"/>
      </w:r>
      <w:r>
        <w:rPr>
          <w:rFonts w:hint="default" w:ascii="Times New Roman" w:hAnsi="Times New Roman" w:eastAsia="宋体" w:cs="Times New Roman"/>
          <w:bCs/>
          <w:sz w:val="28"/>
          <w:szCs w:val="28"/>
          <w:lang w:val="en-US"/>
        </w:rPr>
        <w:instrText xml:space="preserve"> HYPERLINK \l _Toc31113 </w:instrText>
      </w:r>
      <w:r>
        <w:rPr>
          <w:rFonts w:hint="default" w:ascii="Times New Roman" w:hAnsi="Times New Roman" w:eastAsia="宋体" w:cs="Times New Roman"/>
          <w:bCs/>
          <w:sz w:val="28"/>
          <w:szCs w:val="28"/>
          <w:lang w:val="en-US"/>
        </w:rPr>
        <w:fldChar w:fldCharType="separate"/>
      </w:r>
      <w:r>
        <w:rPr>
          <w:rFonts w:hint="eastAsia" w:ascii="宋体" w:hAnsi="宋体" w:eastAsia="宋体" w:cs="宋体"/>
          <w:sz w:val="28"/>
          <w:szCs w:val="28"/>
        </w:rPr>
        <w:t>表</w:t>
      </w:r>
      <w:r>
        <w:rPr>
          <w:rFonts w:hint="eastAsia" w:ascii="宋体" w:hAnsi="宋体" w:eastAsia="宋体" w:cs="宋体"/>
          <w:sz w:val="28"/>
          <w:szCs w:val="28"/>
          <w:lang w:eastAsia="zh-CN"/>
        </w:rPr>
        <w:t>九</w:t>
      </w:r>
      <w:r>
        <w:rPr>
          <w:rFonts w:hint="eastAsia" w:ascii="宋体" w:hAnsi="宋体" w:eastAsia="宋体" w:cs="宋体"/>
          <w:sz w:val="28"/>
          <w:szCs w:val="28"/>
        </w:rPr>
        <w:t xml:space="preserve">  验收结论</w:t>
      </w:r>
      <w:r>
        <w:rPr>
          <w:sz w:val="28"/>
          <w:szCs w:val="28"/>
        </w:rPr>
        <w:tab/>
      </w:r>
      <w:r>
        <w:rPr>
          <w:sz w:val="28"/>
          <w:szCs w:val="28"/>
        </w:rPr>
        <w:fldChar w:fldCharType="begin"/>
      </w:r>
      <w:r>
        <w:rPr>
          <w:sz w:val="28"/>
          <w:szCs w:val="28"/>
        </w:rPr>
        <w:instrText xml:space="preserve"> PAGEREF _Toc31113 \h </w:instrText>
      </w:r>
      <w:r>
        <w:rPr>
          <w:sz w:val="28"/>
          <w:szCs w:val="28"/>
        </w:rPr>
        <w:fldChar w:fldCharType="separate"/>
      </w:r>
      <w:r>
        <w:rPr>
          <w:sz w:val="28"/>
          <w:szCs w:val="28"/>
        </w:rPr>
        <w:t>30</w:t>
      </w:r>
      <w:r>
        <w:rPr>
          <w:sz w:val="28"/>
          <w:szCs w:val="28"/>
        </w:rPr>
        <w:fldChar w:fldCharType="end"/>
      </w:r>
      <w:r>
        <w:rPr>
          <w:rFonts w:hint="default" w:ascii="Times New Roman" w:hAnsi="Times New Roman" w:eastAsia="宋体" w:cs="Times New Roman"/>
          <w:bCs/>
          <w:color w:val="FF0000"/>
          <w:sz w:val="28"/>
          <w:szCs w:val="28"/>
          <w:lang w:val="en-US"/>
        </w:rPr>
        <w:fldChar w:fldCharType="end"/>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Cs/>
          <w:color w:val="FF0000"/>
          <w:szCs w:val="24"/>
          <w:lang w:val="en-US"/>
        </w:rPr>
      </w:pPr>
      <w:r>
        <w:rPr>
          <w:rFonts w:hint="default" w:ascii="Times New Roman" w:hAnsi="Times New Roman" w:eastAsia="宋体" w:cs="Times New Roman"/>
          <w:bCs/>
          <w:color w:val="FF0000"/>
          <w:sz w:val="28"/>
          <w:szCs w:val="28"/>
          <w:lang w:val="en-US"/>
        </w:rPr>
        <w:fldChar w:fldCharType="end"/>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Cs/>
          <w:color w:val="FF0000"/>
          <w:szCs w:val="24"/>
          <w:lang w:val="en-US"/>
        </w:rPr>
      </w:pPr>
      <w:r>
        <w:rPr>
          <w:rFonts w:hint="eastAsia" w:ascii="Times New Roman" w:hAnsi="Times New Roman" w:eastAsia="宋体" w:cs="Times New Roman"/>
          <w:b w:val="0"/>
          <w:bCs w:val="0"/>
          <w:sz w:val="24"/>
          <w:szCs w:val="24"/>
          <w:lang w:val="en-US" w:eastAsia="zh-CN"/>
        </w:rPr>
        <w:t>附表：</w:t>
      </w:r>
      <w:r>
        <w:rPr>
          <w:rFonts w:hint="default" w:ascii="Times New Roman" w:hAnsi="Times New Roman" w:eastAsia="宋体" w:cs="Times New Roman"/>
          <w:b w:val="0"/>
          <w:bCs w:val="0"/>
          <w:sz w:val="24"/>
          <w:szCs w:val="24"/>
        </w:rPr>
        <w:t>建设项目工程竣工环境保护“三同时”验收登记表</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color w:val="FF0000"/>
          <w:szCs w:val="24"/>
          <w:lang w:val="en-US"/>
        </w:rPr>
      </w:pPr>
      <w:r>
        <w:rPr>
          <w:rFonts w:hint="default" w:ascii="Times New Roman" w:hAnsi="Times New Roman" w:eastAsia="宋体" w:cs="Times New Roman"/>
          <w:b w:val="0"/>
          <w:bCs w:val="0"/>
          <w:sz w:val="24"/>
          <w:szCs w:val="24"/>
        </w:rPr>
        <w:t>附</w:t>
      </w:r>
      <w:r>
        <w:rPr>
          <w:rFonts w:hint="default" w:ascii="Times New Roman" w:hAnsi="Times New Roman" w:eastAsia="宋体" w:cs="Times New Roman"/>
          <w:b w:val="0"/>
          <w:bCs w:val="0"/>
          <w:sz w:val="24"/>
          <w:szCs w:val="24"/>
          <w:lang w:eastAsia="zh-CN"/>
        </w:rPr>
        <w:t>图</w:t>
      </w:r>
      <w:r>
        <w:rPr>
          <w:rFonts w:hint="default" w:ascii="Times New Roman" w:hAnsi="Times New Roman" w:eastAsia="宋体" w:cs="Times New Roman"/>
          <w:b w:val="0"/>
          <w:bCs w:val="0"/>
          <w:sz w:val="24"/>
          <w:szCs w:val="24"/>
          <w:lang w:val="en-US" w:eastAsia="zh-CN"/>
        </w:rPr>
        <w:t>1</w:t>
      </w:r>
      <w:r>
        <w:rPr>
          <w:rFonts w:hint="default" w:ascii="Times New Roman" w:hAnsi="Times New Roman" w:eastAsia="宋体" w:cs="Times New Roman"/>
          <w:b w:val="0"/>
          <w:bCs w:val="0"/>
          <w:sz w:val="24"/>
          <w:szCs w:val="24"/>
        </w:rPr>
        <w:t>：项目地理位置及周边环境</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附</w:t>
      </w:r>
      <w:r>
        <w:rPr>
          <w:rFonts w:hint="default" w:ascii="Times New Roman" w:hAnsi="Times New Roman" w:eastAsia="宋体" w:cs="Times New Roman"/>
          <w:b w:val="0"/>
          <w:bCs w:val="0"/>
          <w:sz w:val="24"/>
          <w:szCs w:val="24"/>
          <w:lang w:eastAsia="zh-CN"/>
        </w:rPr>
        <w:t>图</w:t>
      </w:r>
      <w:r>
        <w:rPr>
          <w:rFonts w:hint="eastAsia" w:ascii="Times New Roman" w:hAnsi="Times New Roman" w:eastAsia="宋体" w:cs="Times New Roman"/>
          <w:b w:val="0"/>
          <w:bCs w:val="0"/>
          <w:sz w:val="24"/>
          <w:szCs w:val="24"/>
          <w:lang w:val="en-US" w:eastAsia="zh-CN"/>
        </w:rPr>
        <w:t>2</w:t>
      </w:r>
      <w:r>
        <w:rPr>
          <w:rFonts w:hint="default" w:ascii="Times New Roman" w:hAnsi="Times New Roman" w:eastAsia="宋体" w:cs="Times New Roman"/>
          <w:b w:val="0"/>
          <w:bCs w:val="0"/>
          <w:sz w:val="24"/>
          <w:szCs w:val="24"/>
        </w:rPr>
        <w:t>：</w:t>
      </w:r>
      <w:r>
        <w:rPr>
          <w:rFonts w:hint="eastAsia" w:ascii="Times New Roman" w:hAnsi="Times New Roman" w:eastAsia="宋体" w:cs="Times New Roman"/>
          <w:b w:val="0"/>
          <w:bCs w:val="0"/>
          <w:sz w:val="24"/>
          <w:szCs w:val="24"/>
          <w:lang w:eastAsia="zh-CN"/>
        </w:rPr>
        <w:t>项目厂区平面布置图</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rPr>
      </w:pPr>
      <w:r>
        <w:rPr>
          <w:rFonts w:hint="eastAsia" w:ascii="Times New Roman" w:hAnsi="Times New Roman" w:eastAsia="宋体" w:cs="Times New Roman"/>
          <w:b w:val="0"/>
          <w:bCs w:val="0"/>
          <w:sz w:val="24"/>
          <w:szCs w:val="24"/>
        </w:rPr>
        <w:t>附件</w:t>
      </w:r>
      <w:r>
        <w:rPr>
          <w:rFonts w:hint="default" w:ascii="Times New Roman" w:hAnsi="Times New Roman" w:eastAsia="宋体" w:cs="Times New Roman"/>
          <w:b w:val="0"/>
          <w:bCs w:val="0"/>
          <w:sz w:val="24"/>
          <w:szCs w:val="24"/>
        </w:rPr>
        <w:t>1</w:t>
      </w:r>
      <w:r>
        <w:rPr>
          <w:rFonts w:hint="eastAsia" w:ascii="Times New Roman" w:hAnsi="Times New Roman" w:eastAsia="宋体" w:cs="Times New Roman"/>
          <w:b w:val="0"/>
          <w:bCs w:val="0"/>
          <w:sz w:val="24"/>
          <w:szCs w:val="24"/>
        </w:rPr>
        <w:t>：环评批复</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"_Toc103603951" </w:instrText>
      </w:r>
      <w:r>
        <w:rPr>
          <w:rFonts w:hint="default" w:ascii="Times New Roman" w:hAnsi="Times New Roman" w:eastAsia="宋体" w:cs="Times New Roman"/>
          <w:b w:val="0"/>
          <w:bCs w:val="0"/>
          <w:sz w:val="24"/>
          <w:szCs w:val="24"/>
        </w:rPr>
        <w:fldChar w:fldCharType="separate"/>
      </w:r>
      <w:r>
        <w:rPr>
          <w:rFonts w:hint="eastAsia" w:ascii="Times New Roman" w:hAnsi="Times New Roman" w:eastAsia="宋体" w:cs="Times New Roman"/>
          <w:b w:val="0"/>
          <w:bCs w:val="0"/>
          <w:sz w:val="24"/>
          <w:szCs w:val="24"/>
        </w:rPr>
        <w:t>附件</w:t>
      </w:r>
      <w:r>
        <w:rPr>
          <w:rFonts w:hint="default" w:ascii="Times New Roman" w:hAnsi="Times New Roman" w:eastAsia="宋体" w:cs="Times New Roman"/>
          <w:b w:val="0"/>
          <w:bCs w:val="0"/>
          <w:sz w:val="24"/>
          <w:szCs w:val="24"/>
        </w:rPr>
        <w:t>2</w:t>
      </w:r>
      <w:r>
        <w:rPr>
          <w:rFonts w:hint="eastAsia" w:ascii="Times New Roman" w:hAnsi="Times New Roman" w:eastAsia="宋体" w:cs="Times New Roman"/>
          <w:b w:val="0"/>
          <w:bCs w:val="0"/>
          <w:sz w:val="24"/>
          <w:szCs w:val="24"/>
        </w:rPr>
        <w:t>：</w:t>
      </w:r>
      <w:r>
        <w:rPr>
          <w:rFonts w:hint="eastAsia" w:ascii="Times New Roman" w:hAnsi="Times New Roman" w:eastAsia="宋体" w:cs="Times New Roman"/>
          <w:b w:val="0"/>
          <w:bCs w:val="0"/>
          <w:sz w:val="24"/>
          <w:szCs w:val="24"/>
          <w:lang w:eastAsia="zh-CN"/>
        </w:rPr>
        <w:t>不动产及租赁合同</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rPr>
        <w:t>附件</w:t>
      </w:r>
      <w:r>
        <w:rPr>
          <w:rFonts w:hint="eastAsia" w:ascii="Times New Roman" w:hAnsi="Times New Roman" w:eastAsia="宋体" w:cs="Times New Roman"/>
          <w:b w:val="0"/>
          <w:bCs w:val="0"/>
          <w:sz w:val="24"/>
          <w:szCs w:val="24"/>
          <w:lang w:val="en-US" w:eastAsia="zh-CN"/>
        </w:rPr>
        <w:t>3</w:t>
      </w:r>
      <w:r>
        <w:rPr>
          <w:rFonts w:hint="eastAsia" w:ascii="Times New Roman" w:hAnsi="Times New Roman" w:eastAsia="宋体" w:cs="Times New Roman"/>
          <w:b w:val="0"/>
          <w:bCs w:val="0"/>
          <w:sz w:val="24"/>
          <w:szCs w:val="24"/>
        </w:rPr>
        <w:t>：</w:t>
      </w:r>
      <w:r>
        <w:rPr>
          <w:rFonts w:hint="eastAsia" w:ascii="Times New Roman" w:hAnsi="Times New Roman" w:eastAsia="宋体" w:cs="Times New Roman"/>
          <w:b w:val="0"/>
          <w:bCs w:val="0"/>
          <w:sz w:val="24"/>
          <w:szCs w:val="24"/>
          <w:lang w:val="en-US" w:eastAsia="zh-CN"/>
        </w:rPr>
        <w:t>营业执照</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rPr>
        <w:fldChar w:fldCharType="end"/>
      </w: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"_Toc103603951" </w:instrText>
      </w:r>
      <w:r>
        <w:rPr>
          <w:rFonts w:hint="default" w:ascii="Times New Roman" w:hAnsi="Times New Roman" w:eastAsia="宋体" w:cs="Times New Roman"/>
          <w:b w:val="0"/>
          <w:bCs w:val="0"/>
          <w:sz w:val="24"/>
          <w:szCs w:val="24"/>
        </w:rPr>
        <w:fldChar w:fldCharType="separate"/>
      </w:r>
      <w:r>
        <w:rPr>
          <w:rFonts w:hint="eastAsia" w:ascii="Times New Roman" w:hAnsi="Times New Roman" w:eastAsia="宋体" w:cs="Times New Roman"/>
          <w:b w:val="0"/>
          <w:bCs w:val="0"/>
          <w:color w:val="auto"/>
          <w:sz w:val="24"/>
          <w:szCs w:val="24"/>
        </w:rPr>
        <w:t>附件</w:t>
      </w:r>
      <w:r>
        <w:rPr>
          <w:rFonts w:hint="eastAsia" w:ascii="Times New Roman" w:hAnsi="Times New Roman" w:eastAsia="宋体" w:cs="Times New Roman"/>
          <w:b w:val="0"/>
          <w:bCs w:val="0"/>
          <w:color w:val="auto"/>
          <w:sz w:val="24"/>
          <w:szCs w:val="24"/>
          <w:lang w:val="en-US" w:eastAsia="zh-CN"/>
        </w:rPr>
        <w:t>4</w:t>
      </w:r>
      <w:r>
        <w:rPr>
          <w:rFonts w:hint="eastAsia"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eastAsia="zh-CN"/>
        </w:rPr>
        <w:t>排</w:t>
      </w:r>
      <w:r>
        <w:rPr>
          <w:rFonts w:hint="eastAsia" w:cs="Times New Roman"/>
          <w:b w:val="0"/>
          <w:bCs w:val="0"/>
          <w:color w:val="auto"/>
          <w:sz w:val="24"/>
          <w:szCs w:val="24"/>
          <w:lang w:eastAsia="zh-CN"/>
        </w:rPr>
        <w:t>污</w:t>
      </w:r>
      <w:r>
        <w:rPr>
          <w:rFonts w:hint="eastAsia" w:ascii="Times New Roman" w:hAnsi="Times New Roman" w:eastAsia="宋体" w:cs="Times New Roman"/>
          <w:b w:val="0"/>
          <w:bCs w:val="0"/>
          <w:color w:val="auto"/>
          <w:sz w:val="24"/>
          <w:szCs w:val="24"/>
          <w:lang w:eastAsia="zh-CN"/>
        </w:rPr>
        <w:t>证及</w:t>
      </w:r>
      <w:r>
        <w:rPr>
          <w:rFonts w:hint="eastAsia" w:cs="Times New Roman"/>
          <w:b w:val="0"/>
          <w:bCs w:val="0"/>
          <w:color w:val="auto"/>
          <w:sz w:val="24"/>
          <w:szCs w:val="24"/>
          <w:lang w:val="en-US" w:eastAsia="zh-CN"/>
        </w:rPr>
        <w:t>污水接入口联系单</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val="0"/>
          <w:bCs w:val="0"/>
          <w:sz w:val="24"/>
          <w:szCs w:val="24"/>
          <w:lang w:eastAsia="zh-CN"/>
        </w:rPr>
      </w:pPr>
      <w:r>
        <w:rPr>
          <w:rFonts w:hint="eastAsia" w:ascii="Times New Roman" w:hAnsi="Times New Roman" w:eastAsia="宋体" w:cs="Times New Roman"/>
          <w:b w:val="0"/>
          <w:bCs w:val="0"/>
          <w:sz w:val="24"/>
          <w:szCs w:val="24"/>
        </w:rPr>
        <w:t>附件</w:t>
      </w:r>
      <w:r>
        <w:rPr>
          <w:rFonts w:hint="eastAsia" w:ascii="Times New Roman" w:hAnsi="Times New Roman" w:eastAsia="宋体" w:cs="Times New Roman"/>
          <w:b w:val="0"/>
          <w:bCs w:val="0"/>
          <w:sz w:val="24"/>
          <w:szCs w:val="24"/>
          <w:lang w:val="en-US" w:eastAsia="zh-CN"/>
        </w:rPr>
        <w:t>5</w:t>
      </w:r>
      <w:r>
        <w:rPr>
          <w:rFonts w:hint="eastAsia" w:ascii="Times New Roman" w:hAnsi="Times New Roman" w:eastAsia="宋体" w:cs="Times New Roman"/>
          <w:b w:val="0"/>
          <w:bCs w:val="0"/>
          <w:sz w:val="24"/>
          <w:szCs w:val="24"/>
        </w:rPr>
        <w:t>：</w:t>
      </w:r>
      <w:r>
        <w:rPr>
          <w:rFonts w:hint="eastAsia" w:ascii="Times New Roman" w:hAnsi="Times New Roman" w:eastAsia="宋体" w:cs="Times New Roman"/>
          <w:b w:val="0"/>
          <w:bCs w:val="0"/>
          <w:sz w:val="24"/>
          <w:szCs w:val="24"/>
          <w:lang w:eastAsia="zh-CN"/>
        </w:rPr>
        <w:t>证明材料</w:t>
      </w:r>
    </w:p>
    <w:p>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lang w:val="en-US" w:eastAsia="zh-CN"/>
        </w:rPr>
      </w:pPr>
      <w:r>
        <w:rPr>
          <w:rFonts w:hint="eastAsia" w:ascii="Times New Roman" w:hAnsi="Times New Roman" w:eastAsia="宋体" w:cs="Times New Roman"/>
          <w:b w:val="0"/>
          <w:bCs w:val="0"/>
          <w:color w:val="auto"/>
          <w:sz w:val="24"/>
          <w:szCs w:val="24"/>
        </w:rPr>
        <w:t>附件</w:t>
      </w:r>
      <w:r>
        <w:rPr>
          <w:rFonts w:hint="eastAsia" w:eastAsia="宋体" w:cs="Times New Roman"/>
          <w:b w:val="0"/>
          <w:bCs w:val="0"/>
          <w:color w:val="auto"/>
          <w:sz w:val="24"/>
          <w:szCs w:val="24"/>
          <w:lang w:val="en-US" w:eastAsia="zh-CN"/>
        </w:rPr>
        <w:t>6</w:t>
      </w:r>
      <w:r>
        <w:rPr>
          <w:rFonts w:hint="eastAsia" w:ascii="Times New Roman" w:hAnsi="Times New Roman" w:eastAsia="宋体" w:cs="Times New Roman"/>
          <w:b w:val="0"/>
          <w:bCs w:val="0"/>
          <w:color w:val="auto"/>
          <w:sz w:val="24"/>
          <w:szCs w:val="24"/>
        </w:rPr>
        <w:t>：</w:t>
      </w:r>
      <w:r>
        <w:rPr>
          <w:rFonts w:hint="eastAsia" w:eastAsia="宋体" w:cs="Times New Roman"/>
          <w:b w:val="0"/>
          <w:bCs w:val="0"/>
          <w:color w:val="auto"/>
          <w:sz w:val="24"/>
          <w:szCs w:val="24"/>
          <w:lang w:eastAsia="zh-CN"/>
        </w:rPr>
        <w:t>危废合同及</w:t>
      </w:r>
      <w:r>
        <w:rPr>
          <w:rFonts w:hint="eastAsia" w:eastAsia="宋体" w:cs="Times New Roman"/>
          <w:b w:val="0"/>
          <w:bCs w:val="0"/>
          <w:sz w:val="24"/>
          <w:szCs w:val="24"/>
          <w:lang w:eastAsia="zh-CN"/>
        </w:rPr>
        <w:t>危废仓库照片</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lang w:val="en-US" w:eastAsia="zh-CN"/>
        </w:rPr>
      </w:pPr>
      <w:r>
        <w:rPr>
          <w:rFonts w:hint="default" w:ascii="Times New Roman" w:hAnsi="Times New Roman" w:eastAsia="宋体" w:cs="Times New Roman"/>
          <w:b w:val="0"/>
          <w:bCs w:val="0"/>
          <w:sz w:val="24"/>
          <w:szCs w:val="24"/>
        </w:rPr>
        <w:fldChar w:fldCharType="begin"/>
      </w:r>
      <w:r>
        <w:rPr>
          <w:rFonts w:hint="default" w:ascii="Times New Roman" w:hAnsi="Times New Roman" w:eastAsia="宋体" w:cs="Times New Roman"/>
          <w:b w:val="0"/>
          <w:bCs w:val="0"/>
          <w:sz w:val="24"/>
          <w:szCs w:val="24"/>
        </w:rPr>
        <w:instrText xml:space="preserve"> HYPERLINK \l "_Toc103603951" </w:instrText>
      </w:r>
      <w:r>
        <w:rPr>
          <w:rFonts w:hint="default" w:ascii="Times New Roman" w:hAnsi="Times New Roman" w:eastAsia="宋体" w:cs="Times New Roman"/>
          <w:b w:val="0"/>
          <w:bCs w:val="0"/>
          <w:sz w:val="24"/>
          <w:szCs w:val="24"/>
        </w:rPr>
        <w:fldChar w:fldCharType="separate"/>
      </w:r>
      <w:r>
        <w:rPr>
          <w:rFonts w:hint="eastAsia" w:ascii="Times New Roman" w:hAnsi="Times New Roman" w:eastAsia="宋体" w:cs="Times New Roman"/>
          <w:b w:val="0"/>
          <w:bCs w:val="0"/>
          <w:sz w:val="24"/>
          <w:szCs w:val="24"/>
        </w:rPr>
        <w:t>附件</w:t>
      </w:r>
      <w:r>
        <w:rPr>
          <w:rFonts w:hint="eastAsia" w:cs="Times New Roman"/>
          <w:b w:val="0"/>
          <w:bCs w:val="0"/>
          <w:sz w:val="24"/>
          <w:szCs w:val="24"/>
          <w:lang w:val="en-US" w:eastAsia="zh-CN"/>
        </w:rPr>
        <w:t>7</w:t>
      </w:r>
      <w:r>
        <w:rPr>
          <w:rFonts w:hint="eastAsia" w:ascii="Times New Roman" w:hAnsi="Times New Roman" w:eastAsia="宋体" w:cs="Times New Roman"/>
          <w:b w:val="0"/>
          <w:bCs w:val="0"/>
          <w:sz w:val="24"/>
          <w:szCs w:val="24"/>
        </w:rPr>
        <w:t>：</w:t>
      </w:r>
      <w:r>
        <w:rPr>
          <w:rFonts w:hint="eastAsia" w:ascii="Times New Roman" w:hAnsi="Times New Roman" w:eastAsia="宋体" w:cs="Times New Roman"/>
          <w:b w:val="0"/>
          <w:bCs w:val="0"/>
          <w:sz w:val="24"/>
          <w:szCs w:val="24"/>
          <w:lang w:val="en-US" w:eastAsia="zh-CN"/>
        </w:rPr>
        <w:t>监测报告</w:t>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rPr>
        <w:fldChar w:fldCharType="end"/>
      </w:r>
    </w:p>
    <w:p>
      <w:pPr>
        <w:pStyle w:val="3"/>
        <w:keepNext w:val="0"/>
        <w:keepLines w:val="0"/>
        <w:pageBreakBefore w:val="0"/>
        <w:widowControl/>
        <w:shd w:val="clear"/>
        <w:tabs>
          <w:tab w:val="right" w:leader="dot" w:pos="8630"/>
        </w:tabs>
        <w:kinsoku/>
        <w:wordWrap/>
        <w:overflowPunct/>
        <w:topLinePunct w:val="0"/>
        <w:autoSpaceDE/>
        <w:autoSpaceDN/>
        <w:bidi w:val="0"/>
        <w:adjustRightInd/>
        <w:snapToGrid/>
        <w:spacing w:line="360" w:lineRule="auto"/>
        <w:textAlignment w:val="auto"/>
        <w:rPr>
          <w:rFonts w:hint="default"/>
          <w:b/>
          <w:color w:val="FF0000"/>
          <w:sz w:val="28"/>
          <w:szCs w:val="28"/>
          <w:lang w:val="en-US"/>
        </w:rPr>
        <w:sectPr>
          <w:headerReference r:id="rId4" w:type="default"/>
          <w:footerReference r:id="rId5" w:type="default"/>
          <w:pgSz w:w="12240" w:h="15840"/>
          <w:pgMar w:top="1440" w:right="1800" w:bottom="1440" w:left="1800" w:header="720" w:footer="720" w:gutter="0"/>
          <w:pgNumType w:fmt="decimal" w:start="1"/>
          <w:cols w:space="720" w:num="1"/>
          <w:docGrid w:type="lines" w:linePitch="312" w:charSpace="0"/>
        </w:sectPr>
      </w:pPr>
      <w:r>
        <w:rPr>
          <w:rFonts w:hint="eastAsia" w:ascii="Times New Roman" w:hAnsi="Times New Roman" w:eastAsia="宋体" w:cs="Times New Roman"/>
          <w:b w:val="0"/>
          <w:bCs w:val="0"/>
          <w:sz w:val="24"/>
          <w:szCs w:val="24"/>
        </w:rPr>
        <w:fldChar w:fldCharType="end"/>
      </w:r>
    </w:p>
    <w:p>
      <w:pPr>
        <w:pStyle w:val="4"/>
        <w:bidi w:val="0"/>
        <w:rPr>
          <w:rFonts w:hint="eastAsia" w:ascii="宋体" w:hAnsi="宋体" w:eastAsia="宋体" w:cs="宋体"/>
        </w:rPr>
      </w:pPr>
      <w:bookmarkStart w:id="3" w:name="_Toc18533"/>
      <w:bookmarkStart w:id="4" w:name="_Toc103603939"/>
      <w:r>
        <w:rPr>
          <w:rFonts w:hint="eastAsia" w:ascii="宋体" w:hAnsi="宋体" w:eastAsia="宋体" w:cs="宋体"/>
        </w:rPr>
        <w:t>表一</w:t>
      </w:r>
      <w:bookmarkEnd w:id="0"/>
      <w:bookmarkEnd w:id="1"/>
      <w:bookmarkEnd w:id="2"/>
      <w:r>
        <w:rPr>
          <w:rFonts w:hint="eastAsia" w:ascii="宋体" w:hAnsi="宋体" w:eastAsia="宋体" w:cs="宋体"/>
        </w:rPr>
        <w:t xml:space="preserve"> </w:t>
      </w:r>
      <w:r>
        <w:rPr>
          <w:rFonts w:hint="eastAsia" w:ascii="宋体" w:hAnsi="宋体" w:eastAsia="宋体" w:cs="宋体"/>
          <w:lang w:eastAsia="zh-CN"/>
        </w:rPr>
        <w:t>验收</w:t>
      </w:r>
      <w:r>
        <w:rPr>
          <w:rFonts w:hint="eastAsia" w:ascii="宋体" w:hAnsi="宋体" w:eastAsia="宋体" w:cs="宋体"/>
        </w:rPr>
        <w:t>项目概况、验收依据及验收评价标准</w:t>
      </w:r>
      <w:bookmarkEnd w:id="3"/>
      <w:r>
        <w:rPr>
          <w:rFonts w:hint="eastAsia" w:ascii="宋体" w:hAnsi="宋体" w:eastAsia="宋体" w:cs="宋体"/>
        </w:rPr>
        <w:t xml:space="preserve"> </w:t>
      </w:r>
      <w:bookmarkEnd w:id="4"/>
    </w:p>
    <w:tbl>
      <w:tblPr>
        <w:tblStyle w:val="32"/>
        <w:tblW w:w="53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19"/>
        <w:gridCol w:w="1619"/>
        <w:gridCol w:w="2628"/>
        <w:gridCol w:w="1164"/>
        <w:gridCol w:w="1164"/>
        <w:gridCol w:w="117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建设项目名称</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sz w:val="24"/>
                <w:szCs w:val="24"/>
                <w:lang w:val="en-US" w:eastAsia="zh-CN"/>
              </w:rPr>
            </w:pPr>
            <w:r>
              <w:rPr>
                <w:rFonts w:hint="eastAsia"/>
                <w:sz w:val="24"/>
                <w:szCs w:val="24"/>
                <w:lang w:val="en-US" w:eastAsia="zh-CN"/>
              </w:rPr>
              <w:t>浙江维连风然传感科技有限公司新建年产智能温度传感器200万件项目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建设单位名称</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sz w:val="24"/>
                <w:szCs w:val="24"/>
                <w:lang w:eastAsia="zh-CN"/>
              </w:rPr>
            </w:pPr>
            <w:r>
              <w:rPr>
                <w:rFonts w:hint="eastAsia"/>
                <w:sz w:val="24"/>
                <w:szCs w:val="24"/>
                <w:lang w:val="en-US" w:eastAsia="zh-CN"/>
              </w:rPr>
              <w:t>浙江维连风然传感科技有限公司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建设项目性质</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snapToGrid w:val="0"/>
              <w:jc w:val="center"/>
              <w:rPr>
                <w:sz w:val="24"/>
                <w:szCs w:val="24"/>
              </w:rPr>
            </w:pPr>
            <w:r>
              <w:rPr>
                <w:sz w:val="24"/>
                <w:szCs w:val="24"/>
              </w:rPr>
              <w:sym w:font="Wingdings" w:char="00FE"/>
            </w:r>
            <w:r>
              <w:rPr>
                <w:sz w:val="24"/>
                <w:szCs w:val="24"/>
              </w:rPr>
              <w:t>新建</w:t>
            </w:r>
            <w:r>
              <w:rPr>
                <w:rFonts w:hint="eastAsia"/>
                <w:sz w:val="24"/>
                <w:szCs w:val="24"/>
                <w:lang w:eastAsia="zh-CN"/>
              </w:rPr>
              <w:t>（</w:t>
            </w:r>
            <w:r>
              <w:rPr>
                <w:rFonts w:hint="eastAsia"/>
                <w:sz w:val="24"/>
                <w:szCs w:val="24"/>
                <w:lang w:val="en-US" w:eastAsia="zh-CN"/>
              </w:rPr>
              <w:t>迁建</w:t>
            </w:r>
            <w:r>
              <w:rPr>
                <w:rFonts w:hint="eastAsia"/>
                <w:sz w:val="24"/>
                <w:szCs w:val="24"/>
                <w:lang w:eastAsia="zh-CN"/>
              </w:rPr>
              <w:t>）</w:t>
            </w:r>
            <w:r>
              <w:rPr>
                <w:sz w:val="24"/>
                <w:szCs w:val="24"/>
              </w:rPr>
              <w:t xml:space="preserve">  </w:t>
            </w:r>
            <w:r>
              <w:rPr>
                <w:sz w:val="24"/>
                <w:szCs w:val="24"/>
              </w:rPr>
              <w:sym w:font="Wingdings" w:char="00A8"/>
            </w:r>
            <w:r>
              <w:rPr>
                <w:sz w:val="24"/>
                <w:szCs w:val="24"/>
              </w:rPr>
              <w:t xml:space="preserve">改建  </w:t>
            </w:r>
            <w:r>
              <w:rPr>
                <w:sz w:val="24"/>
                <w:szCs w:val="24"/>
              </w:rPr>
              <w:sym w:font="Wingdings" w:char="00A8"/>
            </w:r>
            <w:r>
              <w:rPr>
                <w:rFonts w:hint="eastAsia"/>
                <w:sz w:val="24"/>
                <w:szCs w:val="24"/>
              </w:rPr>
              <w:t xml:space="preserve">扩建  </w:t>
            </w:r>
            <w:r>
              <w:rPr>
                <w:sz w:val="24"/>
                <w:szCs w:val="24"/>
              </w:rPr>
              <w:sym w:font="Wingdings" w:char="00A8"/>
            </w:r>
            <w:r>
              <w:rPr>
                <w:rFonts w:hint="eastAsia"/>
                <w:sz w:val="24"/>
                <w:szCs w:val="24"/>
              </w:rPr>
              <w:t>技术改造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建设地点</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sz w:val="24"/>
                <w:szCs w:val="24"/>
                <w:lang w:val="en-US" w:eastAsia="zh-CN"/>
              </w:rPr>
            </w:pPr>
            <w:r>
              <w:rPr>
                <w:rFonts w:hint="eastAsia" w:cs="Times New Roman"/>
                <w:color w:val="000000"/>
                <w:kern w:val="0"/>
                <w:sz w:val="24"/>
                <w:szCs w:val="24"/>
                <w:lang w:val="en-US" w:eastAsia="zh-CN" w:bidi="ar"/>
              </w:rPr>
              <w:t>浙江省嘉兴市嘉善县罗星街道科技大道2699号的3号楼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主要产品名称</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sz w:val="24"/>
                <w:szCs w:val="24"/>
                <w:lang w:val="en-US" w:eastAsia="zh-CN"/>
              </w:rPr>
            </w:pPr>
            <w:r>
              <w:rPr>
                <w:rFonts w:hint="eastAsia"/>
                <w:sz w:val="24"/>
                <w:szCs w:val="24"/>
                <w:lang w:val="en-US" w:eastAsia="zh-CN"/>
              </w:rPr>
              <w:t>智能温度传感器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设计生产能力</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sz w:val="24"/>
                <w:szCs w:val="24"/>
              </w:rPr>
            </w:pPr>
            <w:r>
              <w:rPr>
                <w:rFonts w:hint="eastAsia"/>
                <w:sz w:val="24"/>
                <w:szCs w:val="24"/>
                <w:lang w:val="en-US" w:eastAsia="zh-CN"/>
              </w:rPr>
              <w:t>年产200万件智能温度传感器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实际生产能力</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sz w:val="24"/>
                <w:szCs w:val="24"/>
              </w:rPr>
            </w:pPr>
            <w:r>
              <w:rPr>
                <w:rFonts w:hint="eastAsia"/>
                <w:sz w:val="24"/>
                <w:szCs w:val="24"/>
                <w:lang w:val="en-US" w:eastAsia="zh-CN"/>
              </w:rPr>
              <w:t>年产200万件智能温度传感器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建设项目环评时间</w:t>
            </w:r>
          </w:p>
        </w:tc>
        <w:tc>
          <w:tcPr>
            <w:tcW w:w="855" w:type="pct"/>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2022</w:t>
            </w:r>
            <w:r>
              <w:rPr>
                <w:rFonts w:hint="eastAsia"/>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09</w:t>
            </w:r>
            <w:r>
              <w:rPr>
                <w:rFonts w:hint="eastAsia"/>
                <w:color w:val="000000" w:themeColor="text1"/>
                <w:sz w:val="24"/>
                <w:szCs w:val="24"/>
                <w14:textFill>
                  <w14:solidFill>
                    <w14:schemeClr w14:val="tx1"/>
                  </w14:solidFill>
                </w14:textFill>
              </w:rPr>
              <w:t>月</w:t>
            </w:r>
          </w:p>
        </w:tc>
        <w:tc>
          <w:tcPr>
            <w:tcW w:w="1388" w:type="pct"/>
            <w:tcBorders>
              <w:top w:val="single" w:color="auto" w:sz="4" w:space="0"/>
              <w:left w:val="single" w:color="auto" w:sz="4" w:space="0"/>
              <w:bottom w:val="single" w:color="auto" w:sz="4" w:space="0"/>
              <w:right w:val="single" w:color="auto" w:sz="4" w:space="0"/>
            </w:tcBorders>
            <w:vAlign w:val="center"/>
          </w:tcPr>
          <w:p>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开工建设时间</w:t>
            </w:r>
          </w:p>
        </w:tc>
        <w:tc>
          <w:tcPr>
            <w:tcW w:w="1847" w:type="pct"/>
            <w:gridSpan w:val="3"/>
            <w:tcBorders>
              <w:top w:val="single" w:color="auto" w:sz="4" w:space="0"/>
              <w:left w:val="single" w:color="auto" w:sz="4" w:space="0"/>
              <w:bottom w:val="single" w:color="auto" w:sz="4" w:space="0"/>
              <w:right w:val="single" w:color="auto" w:sz="4" w:space="0"/>
            </w:tcBorders>
            <w:vAlign w:val="center"/>
          </w:tcPr>
          <w:p>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2022年12月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调试时间</w:t>
            </w:r>
          </w:p>
        </w:tc>
        <w:tc>
          <w:tcPr>
            <w:tcW w:w="855" w:type="pct"/>
            <w:tcBorders>
              <w:top w:val="single" w:color="auto" w:sz="4" w:space="0"/>
              <w:left w:val="single" w:color="auto" w:sz="4" w:space="0"/>
              <w:bottom w:val="single" w:color="auto" w:sz="4" w:space="0"/>
              <w:right w:val="single" w:color="auto" w:sz="4" w:space="0"/>
            </w:tcBorders>
            <w:vAlign w:val="center"/>
          </w:tcPr>
          <w:p>
            <w:pPr>
              <w:jc w:val="center"/>
              <w:rPr>
                <w:rFonts w:hint="default"/>
                <w:sz w:val="24"/>
                <w:szCs w:val="24"/>
                <w:lang w:val="en-US" w:eastAsia="zh-CN"/>
              </w:rPr>
            </w:pPr>
            <w:r>
              <w:rPr>
                <w:rFonts w:hint="eastAsia"/>
                <w:sz w:val="24"/>
                <w:szCs w:val="24"/>
                <w:lang w:val="en-US" w:eastAsia="zh-CN"/>
              </w:rPr>
              <w:t>2023年03月</w:t>
            </w:r>
          </w:p>
        </w:tc>
        <w:tc>
          <w:tcPr>
            <w:tcW w:w="138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rFonts w:hint="eastAsia"/>
                <w:sz w:val="24"/>
                <w:szCs w:val="24"/>
              </w:rPr>
              <w:t>验收现场监测</w:t>
            </w:r>
          </w:p>
          <w:p>
            <w:pPr>
              <w:jc w:val="center"/>
              <w:rPr>
                <w:sz w:val="24"/>
                <w:szCs w:val="24"/>
              </w:rPr>
            </w:pPr>
            <w:r>
              <w:rPr>
                <w:rFonts w:hint="eastAsia"/>
                <w:sz w:val="24"/>
                <w:szCs w:val="24"/>
              </w:rPr>
              <w:t>时间</w:t>
            </w:r>
          </w:p>
        </w:tc>
        <w:tc>
          <w:tcPr>
            <w:tcW w:w="1847" w:type="pct"/>
            <w:gridSpan w:val="3"/>
            <w:tcBorders>
              <w:top w:val="single" w:color="auto" w:sz="4" w:space="0"/>
              <w:left w:val="single" w:color="auto" w:sz="4" w:space="0"/>
              <w:bottom w:val="single" w:color="auto" w:sz="4" w:space="0"/>
              <w:right w:val="single" w:color="auto" w:sz="4" w:space="0"/>
            </w:tcBorders>
            <w:vAlign w:val="center"/>
          </w:tcPr>
          <w:p>
            <w:pPr>
              <w:jc w:val="center"/>
              <w:rPr>
                <w:rFonts w:hint="default"/>
                <w:sz w:val="24"/>
                <w:szCs w:val="24"/>
                <w:lang w:val="en-US"/>
              </w:rPr>
            </w:pPr>
            <w:r>
              <w:rPr>
                <w:rFonts w:hint="eastAsia"/>
                <w:sz w:val="24"/>
                <w:szCs w:val="24"/>
                <w:lang w:val="en-US" w:eastAsia="zh-CN"/>
              </w:rPr>
              <w:t>2023年04月20日-04月21日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环评报告表</w:t>
            </w:r>
          </w:p>
          <w:p>
            <w:pPr>
              <w:jc w:val="center"/>
              <w:rPr>
                <w:sz w:val="24"/>
                <w:szCs w:val="24"/>
              </w:rPr>
            </w:pPr>
            <w:r>
              <w:rPr>
                <w:sz w:val="24"/>
                <w:szCs w:val="24"/>
              </w:rPr>
              <w:t>审批部门</w:t>
            </w:r>
          </w:p>
        </w:tc>
        <w:tc>
          <w:tcPr>
            <w:tcW w:w="855" w:type="pct"/>
            <w:tcBorders>
              <w:top w:val="single" w:color="auto" w:sz="4" w:space="0"/>
              <w:left w:val="single" w:color="auto" w:sz="4" w:space="0"/>
              <w:bottom w:val="single" w:color="auto" w:sz="4" w:space="0"/>
              <w:right w:val="single" w:color="auto" w:sz="4" w:space="0"/>
            </w:tcBorders>
            <w:vAlign w:val="center"/>
          </w:tcPr>
          <w:p>
            <w:pPr>
              <w:jc w:val="center"/>
              <w:rPr>
                <w:rFonts w:hint="default"/>
                <w:sz w:val="24"/>
                <w:szCs w:val="24"/>
                <w:lang w:val="en-US" w:eastAsia="zh-CN"/>
              </w:rPr>
            </w:pPr>
            <w:r>
              <w:rPr>
                <w:rFonts w:hint="eastAsia"/>
                <w:sz w:val="24"/>
                <w:szCs w:val="24"/>
                <w:lang w:val="en-US" w:eastAsia="zh-CN"/>
              </w:rPr>
              <w:t>嘉兴市生态环境局</w:t>
            </w:r>
          </w:p>
        </w:tc>
        <w:tc>
          <w:tcPr>
            <w:tcW w:w="138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环评报告表</w:t>
            </w:r>
          </w:p>
          <w:p>
            <w:pPr>
              <w:jc w:val="center"/>
              <w:rPr>
                <w:sz w:val="24"/>
                <w:szCs w:val="24"/>
              </w:rPr>
            </w:pPr>
            <w:r>
              <w:rPr>
                <w:sz w:val="24"/>
                <w:szCs w:val="24"/>
              </w:rPr>
              <w:t>编制单位</w:t>
            </w:r>
          </w:p>
        </w:tc>
        <w:tc>
          <w:tcPr>
            <w:tcW w:w="1847" w:type="pct"/>
            <w:gridSpan w:val="3"/>
            <w:tcBorders>
              <w:top w:val="single" w:color="auto" w:sz="4" w:space="0"/>
              <w:left w:val="single" w:color="auto" w:sz="4" w:space="0"/>
              <w:bottom w:val="single" w:color="auto" w:sz="4" w:space="0"/>
              <w:right w:val="single" w:color="auto" w:sz="4" w:space="0"/>
            </w:tcBorders>
            <w:vAlign w:val="center"/>
          </w:tcPr>
          <w:p>
            <w:pPr>
              <w:jc w:val="center"/>
              <w:rPr>
                <w:rFonts w:hint="default"/>
                <w:sz w:val="24"/>
                <w:szCs w:val="24"/>
                <w:lang w:val="en-US" w:eastAsia="zh-CN"/>
              </w:rPr>
            </w:pPr>
            <w:r>
              <w:rPr>
                <w:rFonts w:hint="eastAsia"/>
                <w:sz w:val="24"/>
                <w:szCs w:val="24"/>
                <w:lang w:val="en-US" w:eastAsia="zh-CN"/>
              </w:rPr>
              <w:t>杭州广岩科技有限公司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环保设施设计单位</w:t>
            </w:r>
          </w:p>
        </w:tc>
        <w:tc>
          <w:tcPr>
            <w:tcW w:w="855"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rFonts w:hint="eastAsia"/>
                <w:sz w:val="24"/>
                <w:szCs w:val="24"/>
              </w:rPr>
              <w:t>/</w:t>
            </w:r>
          </w:p>
        </w:tc>
        <w:tc>
          <w:tcPr>
            <w:tcW w:w="138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环保设施施工</w:t>
            </w:r>
          </w:p>
          <w:p>
            <w:pPr>
              <w:jc w:val="center"/>
              <w:rPr>
                <w:sz w:val="24"/>
                <w:szCs w:val="24"/>
              </w:rPr>
            </w:pPr>
            <w:r>
              <w:rPr>
                <w:sz w:val="24"/>
                <w:szCs w:val="24"/>
              </w:rPr>
              <w:t>单位</w:t>
            </w:r>
          </w:p>
        </w:tc>
        <w:tc>
          <w:tcPr>
            <w:tcW w:w="1847" w:type="pct"/>
            <w:gridSpan w:val="3"/>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rFonts w:hint="eastAsia"/>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投资总概算</w:t>
            </w:r>
          </w:p>
        </w:tc>
        <w:tc>
          <w:tcPr>
            <w:tcW w:w="855" w:type="pct"/>
            <w:tcBorders>
              <w:top w:val="single" w:color="auto" w:sz="4" w:space="0"/>
              <w:left w:val="single" w:color="auto" w:sz="4" w:space="0"/>
              <w:bottom w:val="single" w:color="auto" w:sz="4" w:space="0"/>
              <w:right w:val="single" w:color="auto" w:sz="4" w:space="0"/>
            </w:tcBorders>
            <w:vAlign w:val="center"/>
          </w:tcPr>
          <w:p>
            <w:pPr>
              <w:jc w:val="center"/>
              <w:rPr>
                <w:rFonts w:hint="default"/>
                <w:sz w:val="24"/>
                <w:szCs w:val="24"/>
                <w:lang w:val="en-US" w:eastAsia="zh-CN"/>
              </w:rPr>
            </w:pPr>
            <w:r>
              <w:rPr>
                <w:rFonts w:hint="eastAsia"/>
                <w:sz w:val="24"/>
                <w:szCs w:val="24"/>
                <w:lang w:val="en-US" w:eastAsia="zh-CN"/>
              </w:rPr>
              <w:t>2500万元</w:t>
            </w:r>
          </w:p>
        </w:tc>
        <w:tc>
          <w:tcPr>
            <w:tcW w:w="138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环保投资总概算</w:t>
            </w:r>
          </w:p>
        </w:tc>
        <w:tc>
          <w:tcPr>
            <w:tcW w:w="615" w:type="pct"/>
            <w:tcBorders>
              <w:top w:val="single" w:color="auto" w:sz="4" w:space="0"/>
              <w:left w:val="single" w:color="auto" w:sz="4" w:space="0"/>
              <w:bottom w:val="single" w:color="auto" w:sz="4" w:space="0"/>
              <w:right w:val="single" w:color="auto" w:sz="4" w:space="0"/>
            </w:tcBorders>
            <w:vAlign w:val="center"/>
          </w:tcPr>
          <w:p>
            <w:pPr>
              <w:jc w:val="center"/>
              <w:rPr>
                <w:rFonts w:hint="default"/>
                <w:sz w:val="24"/>
                <w:szCs w:val="24"/>
                <w:lang w:val="en-US" w:eastAsia="zh-CN"/>
              </w:rPr>
            </w:pPr>
            <w:r>
              <w:rPr>
                <w:rFonts w:hint="eastAsia"/>
                <w:sz w:val="24"/>
                <w:szCs w:val="24"/>
                <w:lang w:val="en-US" w:eastAsia="zh-CN"/>
              </w:rPr>
              <w:t>40万元</w:t>
            </w:r>
          </w:p>
        </w:tc>
        <w:tc>
          <w:tcPr>
            <w:tcW w:w="615"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比例</w:t>
            </w:r>
          </w:p>
        </w:tc>
        <w:tc>
          <w:tcPr>
            <w:tcW w:w="616"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rFonts w:hint="eastAsia"/>
                <w:sz w:val="24"/>
                <w:szCs w:val="24"/>
                <w:lang w:val="en-US" w:eastAsia="zh-CN"/>
              </w:rPr>
              <w:t>1.6</w:t>
            </w:r>
            <w:r>
              <w:rPr>
                <w:rFonts w:hint="eastAsia"/>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实际总</w:t>
            </w:r>
            <w:r>
              <w:rPr>
                <w:rFonts w:hint="eastAsia"/>
                <w:sz w:val="24"/>
                <w:szCs w:val="24"/>
              </w:rPr>
              <w:t>投资</w:t>
            </w:r>
          </w:p>
        </w:tc>
        <w:tc>
          <w:tcPr>
            <w:tcW w:w="855" w:type="pct"/>
            <w:tcBorders>
              <w:top w:val="single" w:color="auto" w:sz="4" w:space="0"/>
              <w:left w:val="single" w:color="auto" w:sz="4" w:space="0"/>
              <w:bottom w:val="single" w:color="auto" w:sz="4" w:space="0"/>
              <w:right w:val="single" w:color="auto" w:sz="4" w:space="0"/>
            </w:tcBorders>
            <w:vAlign w:val="center"/>
          </w:tcPr>
          <w:p>
            <w:pPr>
              <w:jc w:val="center"/>
              <w:rPr>
                <w:rFonts w:hint="default"/>
                <w:sz w:val="24"/>
                <w:szCs w:val="24"/>
                <w:lang w:val="en-US" w:eastAsia="zh-CN"/>
              </w:rPr>
            </w:pPr>
            <w:r>
              <w:rPr>
                <w:rFonts w:hint="eastAsia"/>
                <w:sz w:val="24"/>
                <w:szCs w:val="24"/>
                <w:lang w:val="en-US" w:eastAsia="zh-CN"/>
              </w:rPr>
              <w:t>2500万元</w:t>
            </w:r>
          </w:p>
        </w:tc>
        <w:tc>
          <w:tcPr>
            <w:tcW w:w="1388"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环保投资</w:t>
            </w:r>
          </w:p>
        </w:tc>
        <w:tc>
          <w:tcPr>
            <w:tcW w:w="615" w:type="pct"/>
            <w:tcBorders>
              <w:top w:val="single" w:color="auto" w:sz="4" w:space="0"/>
              <w:left w:val="single" w:color="auto" w:sz="4" w:space="0"/>
              <w:bottom w:val="single" w:color="auto" w:sz="4" w:space="0"/>
              <w:right w:val="single" w:color="auto" w:sz="4" w:space="0"/>
            </w:tcBorders>
            <w:vAlign w:val="center"/>
          </w:tcPr>
          <w:p>
            <w:pPr>
              <w:jc w:val="center"/>
              <w:rPr>
                <w:rFonts w:hint="eastAsia"/>
                <w:sz w:val="24"/>
                <w:szCs w:val="24"/>
                <w:lang w:val="en-US" w:eastAsia="zh-CN"/>
              </w:rPr>
            </w:pPr>
            <w:r>
              <w:rPr>
                <w:rFonts w:hint="eastAsia"/>
                <w:sz w:val="24"/>
                <w:szCs w:val="24"/>
                <w:lang w:val="en-US" w:eastAsia="zh-CN"/>
              </w:rPr>
              <w:t>40万元</w:t>
            </w:r>
          </w:p>
        </w:tc>
        <w:tc>
          <w:tcPr>
            <w:tcW w:w="615"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sz w:val="24"/>
                <w:szCs w:val="24"/>
              </w:rPr>
              <w:t>比例</w:t>
            </w:r>
          </w:p>
        </w:tc>
        <w:tc>
          <w:tcPr>
            <w:tcW w:w="616" w:type="pct"/>
            <w:tcBorders>
              <w:top w:val="single" w:color="auto" w:sz="4" w:space="0"/>
              <w:left w:val="single" w:color="auto" w:sz="4" w:space="0"/>
              <w:bottom w:val="single" w:color="auto" w:sz="4" w:space="0"/>
              <w:right w:val="single" w:color="auto" w:sz="4" w:space="0"/>
            </w:tcBorders>
            <w:vAlign w:val="center"/>
          </w:tcPr>
          <w:p>
            <w:pPr>
              <w:jc w:val="center"/>
              <w:rPr>
                <w:sz w:val="24"/>
                <w:szCs w:val="24"/>
              </w:rPr>
            </w:pPr>
            <w:r>
              <w:rPr>
                <w:rFonts w:hint="eastAsia"/>
                <w:sz w:val="24"/>
                <w:szCs w:val="24"/>
                <w:lang w:val="en-US" w:eastAsia="zh-CN"/>
              </w:rPr>
              <w:t>1.6</w:t>
            </w:r>
            <w:r>
              <w:rPr>
                <w:rFonts w:hint="eastAsia"/>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8" w:hRule="atLeast"/>
          <w:jc w:val="center"/>
        </w:trPr>
        <w:tc>
          <w:tcPr>
            <w:tcW w:w="908" w:type="pct"/>
            <w:tcBorders>
              <w:top w:val="single" w:color="auto" w:sz="4" w:space="0"/>
              <w:left w:val="single" w:color="auto" w:sz="4" w:space="0"/>
              <w:bottom w:val="single" w:color="auto" w:sz="4" w:space="0"/>
              <w:right w:val="single" w:color="auto" w:sz="4" w:space="0"/>
            </w:tcBorders>
            <w:vAlign w:val="center"/>
          </w:tcPr>
          <w:p>
            <w:pPr>
              <w:spacing w:line="400" w:lineRule="exact"/>
              <w:jc w:val="center"/>
              <w:rPr>
                <w:color w:val="FF0000"/>
                <w:sz w:val="24"/>
                <w:szCs w:val="24"/>
              </w:rPr>
            </w:pPr>
            <w:r>
              <w:rPr>
                <w:sz w:val="24"/>
                <w:szCs w:val="24"/>
              </w:rPr>
              <w:t>验收监测依据</w:t>
            </w:r>
          </w:p>
        </w:tc>
        <w:tc>
          <w:tcPr>
            <w:tcW w:w="4091" w:type="pct"/>
            <w:gridSpan w:val="5"/>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spacing w:line="336" w:lineRule="auto"/>
              <w:textAlignment w:val="auto"/>
              <w:rPr>
                <w:b/>
                <w:sz w:val="24"/>
                <w:szCs w:val="24"/>
              </w:rPr>
            </w:pPr>
            <w:r>
              <w:rPr>
                <w:b/>
                <w:sz w:val="24"/>
                <w:szCs w:val="24"/>
              </w:rPr>
              <w:t>1、建设项目环境保护相关法律、法规和规章制度</w:t>
            </w:r>
          </w:p>
          <w:p>
            <w:pPr>
              <w:keepNext w:val="0"/>
              <w:keepLines w:val="0"/>
              <w:pageBreakBefore w:val="0"/>
              <w:kinsoku/>
              <w:wordWrap/>
              <w:overflowPunct/>
              <w:topLinePunct w:val="0"/>
              <w:autoSpaceDE/>
              <w:autoSpaceDN/>
              <w:bidi w:val="0"/>
              <w:spacing w:line="336" w:lineRule="auto"/>
              <w:ind w:firstLine="480" w:firstLineChars="200"/>
              <w:textAlignment w:val="auto"/>
              <w:rPr>
                <w:rFonts w:hint="eastAsia" w:cs="宋体"/>
                <w:color w:val="auto"/>
                <w:sz w:val="24"/>
                <w:szCs w:val="24"/>
              </w:rPr>
            </w:pPr>
            <w:r>
              <w:rPr>
                <w:rFonts w:hint="eastAsia" w:cs="宋体"/>
                <w:color w:val="auto"/>
                <w:sz w:val="24"/>
                <w:szCs w:val="24"/>
              </w:rPr>
              <w:t>（1）《中华人民共和国环境保护法》（2015年1月1日起施行）；</w:t>
            </w:r>
          </w:p>
          <w:p>
            <w:pPr>
              <w:pStyle w:val="2"/>
              <w:keepNext w:val="0"/>
              <w:keepLines w:val="0"/>
              <w:pageBreakBefore w:val="0"/>
              <w:kinsoku/>
              <w:wordWrap/>
              <w:overflowPunct/>
              <w:topLinePunct w:val="0"/>
              <w:autoSpaceDE/>
              <w:autoSpaceDN/>
              <w:bidi w:val="0"/>
              <w:spacing w:line="336" w:lineRule="auto"/>
              <w:ind w:firstLine="480" w:firstLineChars="200"/>
              <w:textAlignment w:val="auto"/>
              <w:rPr>
                <w:color w:val="auto"/>
                <w:sz w:val="24"/>
                <w:szCs w:val="24"/>
              </w:rPr>
            </w:pPr>
            <w:r>
              <w:rPr>
                <w:rFonts w:hint="default" w:ascii="Times New Roman" w:hAnsi="Times New Roman" w:cs="Times New Roman"/>
                <w:color w:val="auto"/>
                <w:sz w:val="24"/>
                <w:szCs w:val="24"/>
              </w:rPr>
              <w:t>（2）《中华人民共和国水污染防治法》（2018年1月1日起施行）；</w:t>
            </w:r>
          </w:p>
          <w:p>
            <w:pPr>
              <w:keepNext w:val="0"/>
              <w:keepLines w:val="0"/>
              <w:pageBreakBefore w:val="0"/>
              <w:kinsoku/>
              <w:wordWrap/>
              <w:overflowPunct/>
              <w:topLinePunct w:val="0"/>
              <w:autoSpaceDE/>
              <w:autoSpaceDN/>
              <w:bidi w:val="0"/>
              <w:spacing w:line="336" w:lineRule="auto"/>
              <w:ind w:firstLine="480" w:firstLineChars="200"/>
              <w:textAlignment w:val="auto"/>
              <w:rPr>
                <w:rFonts w:cs="宋体"/>
                <w:color w:val="auto"/>
                <w:sz w:val="24"/>
                <w:szCs w:val="24"/>
              </w:rPr>
            </w:pPr>
            <w:r>
              <w:rPr>
                <w:rFonts w:hint="eastAsia" w:cs="宋体"/>
                <w:color w:val="auto"/>
                <w:sz w:val="24"/>
                <w:szCs w:val="24"/>
              </w:rPr>
              <w:t>（</w:t>
            </w:r>
            <w:r>
              <w:rPr>
                <w:rFonts w:hint="eastAsia" w:cs="宋体"/>
                <w:color w:val="auto"/>
                <w:sz w:val="24"/>
                <w:szCs w:val="24"/>
                <w:lang w:val="en-US" w:eastAsia="zh-CN"/>
              </w:rPr>
              <w:t>3</w:t>
            </w:r>
            <w:r>
              <w:rPr>
                <w:rFonts w:hint="eastAsia" w:cs="宋体"/>
                <w:color w:val="auto"/>
                <w:sz w:val="24"/>
                <w:szCs w:val="24"/>
              </w:rPr>
              <w:t>）《中华人民共和国大气污染防治法》（2018年10月26日起施行）；</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cs="宋体"/>
                <w:color w:val="auto"/>
                <w:sz w:val="24"/>
                <w:szCs w:val="24"/>
              </w:rPr>
            </w:pPr>
            <w:r>
              <w:rPr>
                <w:rFonts w:hint="eastAsia" w:cs="宋体"/>
                <w:color w:val="auto"/>
                <w:sz w:val="24"/>
                <w:szCs w:val="24"/>
              </w:rPr>
              <w:t>（</w:t>
            </w:r>
            <w:r>
              <w:rPr>
                <w:rFonts w:hint="eastAsia" w:cs="宋体"/>
                <w:color w:val="auto"/>
                <w:sz w:val="24"/>
                <w:szCs w:val="24"/>
                <w:lang w:val="en-US" w:eastAsia="zh-CN"/>
              </w:rPr>
              <w:t>4</w:t>
            </w:r>
            <w:r>
              <w:rPr>
                <w:rFonts w:hint="eastAsia" w:cs="宋体"/>
                <w:color w:val="auto"/>
                <w:sz w:val="24"/>
                <w:szCs w:val="24"/>
              </w:rPr>
              <w:t>）《中华人民共和国噪声污染防治法》（</w:t>
            </w:r>
            <w:r>
              <w:rPr>
                <w:rFonts w:hint="eastAsia"/>
                <w:color w:val="auto"/>
                <w:sz w:val="24"/>
                <w:szCs w:val="24"/>
              </w:rPr>
              <w:t>20</w:t>
            </w:r>
            <w:r>
              <w:rPr>
                <w:rFonts w:hint="eastAsia"/>
                <w:color w:val="auto"/>
                <w:sz w:val="24"/>
                <w:szCs w:val="24"/>
                <w:lang w:val="en-US" w:eastAsia="zh-CN"/>
              </w:rPr>
              <w:t>22</w:t>
            </w:r>
            <w:r>
              <w:rPr>
                <w:rFonts w:hint="eastAsia"/>
                <w:color w:val="auto"/>
                <w:sz w:val="24"/>
                <w:szCs w:val="24"/>
              </w:rPr>
              <w:t>年</w:t>
            </w:r>
            <w:r>
              <w:rPr>
                <w:rFonts w:hint="eastAsia"/>
                <w:color w:val="auto"/>
                <w:sz w:val="24"/>
                <w:szCs w:val="24"/>
                <w:lang w:val="en-US" w:eastAsia="zh-CN"/>
              </w:rPr>
              <w:t>06</w:t>
            </w:r>
            <w:r>
              <w:rPr>
                <w:rFonts w:hint="eastAsia"/>
                <w:color w:val="auto"/>
                <w:sz w:val="24"/>
                <w:szCs w:val="24"/>
              </w:rPr>
              <w:t>月</w:t>
            </w:r>
            <w:r>
              <w:rPr>
                <w:rFonts w:hint="eastAsia"/>
                <w:color w:val="auto"/>
                <w:sz w:val="24"/>
                <w:szCs w:val="24"/>
                <w:lang w:val="en-US" w:eastAsia="zh-CN"/>
              </w:rPr>
              <w:t>05</w:t>
            </w:r>
            <w:r>
              <w:rPr>
                <w:rFonts w:hint="eastAsia"/>
                <w:color w:val="auto"/>
                <w:sz w:val="24"/>
                <w:szCs w:val="24"/>
              </w:rPr>
              <w:t>日起施行</w:t>
            </w:r>
            <w:r>
              <w:rPr>
                <w:rFonts w:hint="eastAsia" w:cs="宋体"/>
                <w:color w:val="auto"/>
                <w:sz w:val="24"/>
                <w:szCs w:val="24"/>
              </w:rPr>
              <w:t>）</w:t>
            </w:r>
            <w:r>
              <w:rPr>
                <w:rFonts w:hint="eastAsia"/>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cs="宋体"/>
                <w:color w:val="auto"/>
                <w:sz w:val="24"/>
                <w:szCs w:val="24"/>
              </w:rPr>
            </w:pPr>
            <w:r>
              <w:rPr>
                <w:rFonts w:hint="eastAsia" w:cs="宋体"/>
                <w:color w:val="auto"/>
                <w:sz w:val="24"/>
                <w:szCs w:val="24"/>
              </w:rPr>
              <w:t>（</w:t>
            </w:r>
            <w:r>
              <w:rPr>
                <w:rFonts w:hint="eastAsia" w:cs="宋体"/>
                <w:color w:val="auto"/>
                <w:sz w:val="24"/>
                <w:szCs w:val="24"/>
                <w:lang w:val="en-US" w:eastAsia="zh-CN"/>
              </w:rPr>
              <w:t>5</w:t>
            </w:r>
            <w:r>
              <w:rPr>
                <w:rFonts w:hint="eastAsia" w:cs="宋体"/>
                <w:color w:val="auto"/>
                <w:sz w:val="24"/>
                <w:szCs w:val="24"/>
              </w:rPr>
              <w:t>）《中华人民共和国固体废物污染环境防治法》（2020年9月1日起施行）；</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hint="eastAsia" w:cs="宋体"/>
                <w:color w:val="auto"/>
                <w:sz w:val="24"/>
                <w:szCs w:val="24"/>
              </w:rPr>
            </w:pPr>
            <w:r>
              <w:rPr>
                <w:rFonts w:hint="eastAsia" w:cs="宋体"/>
                <w:color w:val="auto"/>
                <w:sz w:val="24"/>
                <w:szCs w:val="24"/>
              </w:rPr>
              <w:t>（</w:t>
            </w:r>
            <w:r>
              <w:rPr>
                <w:rFonts w:hint="eastAsia" w:cs="宋体"/>
                <w:color w:val="auto"/>
                <w:sz w:val="24"/>
                <w:szCs w:val="24"/>
                <w:lang w:val="en-US" w:eastAsia="zh-CN"/>
              </w:rPr>
              <w:t>6</w:t>
            </w:r>
            <w:r>
              <w:rPr>
                <w:rFonts w:hint="eastAsia" w:cs="宋体"/>
                <w:color w:val="auto"/>
                <w:sz w:val="24"/>
                <w:szCs w:val="24"/>
              </w:rPr>
              <w:t>）</w:t>
            </w:r>
            <w:r>
              <w:rPr>
                <w:rFonts w:hint="default" w:ascii="Times New Roman" w:hAnsi="Times New Roman" w:cs="宋体"/>
                <w:color w:val="auto"/>
                <w:sz w:val="24"/>
                <w:szCs w:val="24"/>
              </w:rPr>
              <w:t>《建设项目环境保护管理条例》（国务院第682号令</w:t>
            </w:r>
            <w:r>
              <w:rPr>
                <w:rFonts w:hint="eastAsia"/>
                <w:color w:val="auto"/>
                <w:sz w:val="24"/>
                <w:szCs w:val="24"/>
                <w:lang w:eastAsia="zh-CN"/>
              </w:rPr>
              <w:t>，</w:t>
            </w:r>
            <w:r>
              <w:rPr>
                <w:rFonts w:hint="eastAsia" w:cs="宋体"/>
                <w:color w:val="auto"/>
                <w:sz w:val="24"/>
                <w:szCs w:val="24"/>
              </w:rPr>
              <w:t>2017年10月1日起施行）；</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ascii="Times New Roman" w:hAnsi="Times New Roman" w:cs="Times New Roman"/>
                <w:color w:val="auto"/>
                <w:sz w:val="24"/>
                <w:szCs w:val="24"/>
              </w:rPr>
            </w:pPr>
            <w:r>
              <w:rPr>
                <w:rFonts w:hint="eastAsia"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7</w:t>
            </w:r>
            <w:r>
              <w:rPr>
                <w:rFonts w:hint="eastAsia" w:ascii="Times New Roman" w:hAnsi="Times New Roman" w:cs="Times New Roman"/>
                <w:color w:val="auto"/>
                <w:sz w:val="24"/>
                <w:szCs w:val="24"/>
              </w:rPr>
              <w:t>）</w:t>
            </w:r>
            <w:r>
              <w:rPr>
                <w:rFonts w:ascii="Times New Roman" w:hAnsi="Times New Roman" w:cs="Times New Roman"/>
                <w:color w:val="auto"/>
                <w:sz w:val="24"/>
                <w:szCs w:val="24"/>
              </w:rPr>
              <w:t>原</w:t>
            </w:r>
            <w:r>
              <w:rPr>
                <w:rFonts w:hint="eastAsia" w:ascii="Times New Roman" w:hAnsi="Times New Roman" w:cs="Times New Roman"/>
                <w:color w:val="auto"/>
                <w:sz w:val="24"/>
                <w:szCs w:val="24"/>
              </w:rPr>
              <w:t xml:space="preserve">环境保护部 </w:t>
            </w:r>
            <w:r>
              <w:rPr>
                <w:rFonts w:ascii="Times New Roman" w:hAnsi="Times New Roman" w:cs="Times New Roman"/>
                <w:color w:val="auto"/>
                <w:sz w:val="24"/>
                <w:szCs w:val="24"/>
              </w:rPr>
              <w:t>国环规环评[2017]4号</w:t>
            </w:r>
            <w:r>
              <w:rPr>
                <w:rFonts w:hint="eastAsia" w:ascii="Times New Roman" w:hAnsi="Times New Roman" w:cs="Times New Roman"/>
                <w:color w:val="auto"/>
                <w:sz w:val="24"/>
                <w:szCs w:val="24"/>
              </w:rPr>
              <w:t xml:space="preserve"> </w:t>
            </w:r>
            <w:r>
              <w:rPr>
                <w:rFonts w:ascii="Times New Roman" w:hAnsi="Times New Roman" w:cs="Times New Roman"/>
                <w:color w:val="auto"/>
                <w:sz w:val="24"/>
                <w:szCs w:val="24"/>
              </w:rPr>
              <w:t>《建设项目</w:t>
            </w:r>
            <w:r>
              <w:rPr>
                <w:rFonts w:hint="eastAsia" w:ascii="Times New Roman" w:hAnsi="Times New Roman" w:cs="Times New Roman"/>
                <w:color w:val="auto"/>
                <w:sz w:val="24"/>
                <w:szCs w:val="24"/>
                <w:lang w:eastAsia="zh-CN"/>
              </w:rPr>
              <w:t>竣工</w:t>
            </w:r>
            <w:r>
              <w:rPr>
                <w:rFonts w:ascii="Times New Roman" w:hAnsi="Times New Roman" w:cs="Times New Roman"/>
                <w:color w:val="auto"/>
                <w:sz w:val="24"/>
                <w:szCs w:val="24"/>
              </w:rPr>
              <w:t>环境保护验收暂行办法》</w:t>
            </w:r>
            <w:r>
              <w:rPr>
                <w:rFonts w:hint="eastAsia" w:ascii="Times New Roman" w:hAnsi="Times New Roman" w:cs="Times New Roman"/>
                <w:color w:val="auto"/>
                <w:sz w:val="24"/>
                <w:szCs w:val="24"/>
              </w:rPr>
              <w:t>（2017年11月20日起施行）；</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cs="宋体"/>
                <w:sz w:val="24"/>
                <w:szCs w:val="24"/>
              </w:rPr>
            </w:pP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8</w:t>
            </w:r>
            <w:r>
              <w:rPr>
                <w:rFonts w:ascii="Times New Roman" w:hAnsi="Times New Roman" w:cs="Times New Roman"/>
                <w:color w:val="auto"/>
                <w:sz w:val="24"/>
                <w:szCs w:val="24"/>
              </w:rPr>
              <w:t>）《关于印发建设项目</w:t>
            </w:r>
            <w:r>
              <w:rPr>
                <w:rFonts w:hint="eastAsia" w:ascii="Times New Roman" w:hAnsi="Times New Roman" w:cs="Times New Roman"/>
                <w:color w:val="auto"/>
                <w:sz w:val="24"/>
                <w:szCs w:val="24"/>
                <w:lang w:eastAsia="zh-CN"/>
              </w:rPr>
              <w:t>竣工</w:t>
            </w:r>
            <w:r>
              <w:rPr>
                <w:rFonts w:ascii="Times New Roman" w:hAnsi="Times New Roman" w:cs="Times New Roman"/>
                <w:color w:val="auto"/>
                <w:sz w:val="24"/>
                <w:szCs w:val="24"/>
              </w:rPr>
              <w:t>环境保护验收现场检查及审查要点的通知》（环办[2015]113号，</w:t>
            </w:r>
            <w:r>
              <w:rPr>
                <w:rFonts w:hint="eastAsia" w:ascii="Times New Roman" w:hAnsi="Times New Roman" w:cs="Times New Roman"/>
                <w:color w:val="auto"/>
                <w:sz w:val="24"/>
                <w:szCs w:val="24"/>
              </w:rPr>
              <w:t>2015年12月30日发布</w:t>
            </w:r>
            <w:r>
              <w:rPr>
                <w:rFonts w:ascii="Times New Roman" w:hAnsi="Times New Roman" w:cs="Times New Roman"/>
                <w:color w:val="auto"/>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20" w:hRule="atLeast"/>
          <w:jc w:val="center"/>
        </w:trPr>
        <w:tc>
          <w:tcPr>
            <w:tcW w:w="908" w:type="pct"/>
            <w:tcBorders>
              <w:top w:val="single" w:color="auto" w:sz="4" w:space="0"/>
              <w:bottom w:val="single" w:color="auto" w:sz="4" w:space="0"/>
            </w:tcBorders>
            <w:vAlign w:val="center"/>
          </w:tcPr>
          <w:p>
            <w:pPr>
              <w:spacing w:line="400" w:lineRule="exact"/>
              <w:jc w:val="center"/>
              <w:rPr>
                <w:color w:val="auto"/>
                <w:sz w:val="24"/>
                <w:szCs w:val="24"/>
              </w:rPr>
            </w:pPr>
            <w:r>
              <w:rPr>
                <w:color w:val="auto"/>
                <w:sz w:val="24"/>
                <w:szCs w:val="24"/>
              </w:rPr>
              <w:t>验收监测依据</w:t>
            </w:r>
          </w:p>
        </w:tc>
        <w:tc>
          <w:tcPr>
            <w:tcW w:w="4091" w:type="pct"/>
            <w:gridSpan w:val="5"/>
            <w:tcBorders>
              <w:top w:val="single" w:color="auto" w:sz="4" w:space="0"/>
              <w:bottom w:val="single" w:color="auto" w:sz="4" w:space="0"/>
            </w:tcBorders>
          </w:tcPr>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color w:val="auto"/>
                <w:sz w:val="24"/>
                <w:szCs w:val="24"/>
              </w:rPr>
            </w:pPr>
            <w:r>
              <w:rPr>
                <w:color w:val="auto"/>
                <w:sz w:val="24"/>
                <w:szCs w:val="24"/>
              </w:rPr>
              <w:t>（</w:t>
            </w:r>
            <w:r>
              <w:rPr>
                <w:rFonts w:hint="eastAsia"/>
                <w:color w:val="auto"/>
                <w:sz w:val="24"/>
                <w:szCs w:val="24"/>
                <w:lang w:val="en-US" w:eastAsia="zh-CN"/>
              </w:rPr>
              <w:t>9</w:t>
            </w:r>
            <w:r>
              <w:rPr>
                <w:color w:val="auto"/>
                <w:sz w:val="24"/>
                <w:szCs w:val="24"/>
              </w:rPr>
              <w:t>）《浙江省建设项目环境保护管理办法》</w:t>
            </w:r>
            <w:r>
              <w:rPr>
                <w:rFonts w:ascii="Times New Roman" w:hAnsi="Times New Roman" w:cs="Times New Roman"/>
                <w:color w:val="auto"/>
                <w:sz w:val="24"/>
                <w:szCs w:val="24"/>
              </w:rPr>
              <w:t>（</w:t>
            </w:r>
            <w:r>
              <w:rPr>
                <w:rFonts w:hint="default" w:ascii="Times New Roman" w:hAnsi="Times New Roman" w:cs="Times New Roman"/>
                <w:color w:val="auto"/>
                <w:sz w:val="24"/>
                <w:szCs w:val="24"/>
              </w:rPr>
              <w:t>浙江省人民政府令第</w:t>
            </w:r>
            <w:r>
              <w:rPr>
                <w:rFonts w:hint="eastAsia" w:ascii="Times New Roman" w:hAnsi="Times New Roman" w:cs="Times New Roman"/>
                <w:color w:val="auto"/>
                <w:sz w:val="24"/>
                <w:szCs w:val="24"/>
                <w:lang w:val="en-US" w:eastAsia="zh-CN"/>
              </w:rPr>
              <w:t>388</w:t>
            </w:r>
            <w:r>
              <w:rPr>
                <w:rFonts w:hint="default" w:ascii="Times New Roman" w:hAnsi="Times New Roman" w:cs="Times New Roman"/>
                <w:color w:val="auto"/>
                <w:sz w:val="24"/>
                <w:szCs w:val="24"/>
              </w:rPr>
              <w:t>号</w:t>
            </w:r>
            <w:r>
              <w:rPr>
                <w:rFonts w:ascii="Times New Roman" w:hAnsi="Times New Roman" w:cs="Times New Roman"/>
                <w:color w:val="auto"/>
                <w:sz w:val="24"/>
                <w:szCs w:val="24"/>
              </w:rPr>
              <w:t>，20</w:t>
            </w:r>
            <w:r>
              <w:rPr>
                <w:rFonts w:hint="eastAsia" w:ascii="Times New Roman" w:hAnsi="Times New Roman" w:cs="Times New Roman"/>
                <w:color w:val="auto"/>
                <w:sz w:val="24"/>
                <w:szCs w:val="24"/>
              </w:rPr>
              <w:t>21</w:t>
            </w:r>
            <w:r>
              <w:rPr>
                <w:rFonts w:ascii="Times New Roman" w:hAnsi="Times New Roman" w:cs="Times New Roman"/>
                <w:color w:val="auto"/>
                <w:sz w:val="24"/>
                <w:szCs w:val="24"/>
              </w:rPr>
              <w:t>年</w:t>
            </w:r>
            <w:r>
              <w:rPr>
                <w:rFonts w:hint="eastAsia" w:ascii="Times New Roman" w:hAnsi="Times New Roman" w:cs="Times New Roman"/>
                <w:color w:val="auto"/>
                <w:sz w:val="24"/>
                <w:szCs w:val="24"/>
              </w:rPr>
              <w:t>2</w:t>
            </w:r>
            <w:r>
              <w:rPr>
                <w:rFonts w:ascii="Times New Roman" w:hAnsi="Times New Roman" w:cs="Times New Roman"/>
                <w:color w:val="auto"/>
                <w:sz w:val="24"/>
                <w:szCs w:val="24"/>
              </w:rPr>
              <w:t>月1</w:t>
            </w:r>
            <w:r>
              <w:rPr>
                <w:rFonts w:hint="eastAsia" w:ascii="Times New Roman" w:hAnsi="Times New Roman" w:cs="Times New Roman"/>
                <w:color w:val="auto"/>
                <w:sz w:val="24"/>
                <w:szCs w:val="24"/>
              </w:rPr>
              <w:t>0</w:t>
            </w:r>
            <w:r>
              <w:rPr>
                <w:rFonts w:ascii="Times New Roman" w:hAnsi="Times New Roman" w:cs="Times New Roman"/>
                <w:color w:val="auto"/>
                <w:sz w:val="24"/>
                <w:szCs w:val="24"/>
              </w:rPr>
              <w:t>日起</w:t>
            </w:r>
            <w:r>
              <w:rPr>
                <w:color w:val="auto"/>
                <w:sz w:val="24"/>
                <w:szCs w:val="24"/>
              </w:rPr>
              <w:t>施行）；</w:t>
            </w:r>
          </w:p>
          <w:p>
            <w:pPr>
              <w:keepNext w:val="0"/>
              <w:keepLines w:val="0"/>
              <w:pageBreakBefore w:val="0"/>
              <w:kinsoku/>
              <w:wordWrap/>
              <w:overflowPunct/>
              <w:topLinePunct w:val="0"/>
              <w:autoSpaceDE/>
              <w:autoSpaceDN/>
              <w:bidi w:val="0"/>
              <w:spacing w:line="336" w:lineRule="auto"/>
              <w:ind w:firstLine="480" w:firstLineChars="200"/>
              <w:textAlignment w:val="auto"/>
              <w:rPr>
                <w:rFonts w:hint="eastAsia"/>
                <w:color w:val="auto"/>
                <w:sz w:val="24"/>
                <w:szCs w:val="24"/>
              </w:rPr>
            </w:pPr>
            <w:r>
              <w:rPr>
                <w:rFonts w:hint="eastAsia"/>
                <w:color w:val="auto"/>
                <w:sz w:val="24"/>
                <w:szCs w:val="24"/>
              </w:rPr>
              <w:t>（</w:t>
            </w:r>
            <w:r>
              <w:rPr>
                <w:rFonts w:hint="eastAsia"/>
                <w:color w:val="auto"/>
                <w:sz w:val="24"/>
                <w:szCs w:val="24"/>
                <w:lang w:val="en-US" w:eastAsia="zh-CN"/>
              </w:rPr>
              <w:t>10</w:t>
            </w:r>
            <w:r>
              <w:rPr>
                <w:rFonts w:hint="eastAsia"/>
                <w:color w:val="auto"/>
                <w:sz w:val="24"/>
                <w:szCs w:val="24"/>
              </w:rPr>
              <w:t>）</w:t>
            </w:r>
            <w:r>
              <w:rPr>
                <w:color w:val="auto"/>
                <w:sz w:val="24"/>
                <w:szCs w:val="24"/>
              </w:rPr>
              <w:t>《浙江省大气污染防治条例》</w:t>
            </w:r>
            <w:r>
              <w:rPr>
                <w:rFonts w:hint="eastAsia"/>
                <w:color w:val="auto"/>
                <w:sz w:val="24"/>
                <w:szCs w:val="24"/>
              </w:rPr>
              <w:t>（2020年11月27日</w:t>
            </w:r>
            <w:r>
              <w:rPr>
                <w:color w:val="auto"/>
                <w:sz w:val="24"/>
                <w:szCs w:val="24"/>
              </w:rPr>
              <w:t>修订</w:t>
            </w:r>
            <w:r>
              <w:rPr>
                <w:rFonts w:hint="eastAsia"/>
                <w:color w:val="auto"/>
                <w:sz w:val="24"/>
                <w:szCs w:val="24"/>
              </w:rPr>
              <w:t>，2020年11月27日起施行）；</w:t>
            </w:r>
          </w:p>
          <w:p>
            <w:pPr>
              <w:keepNext w:val="0"/>
              <w:keepLines w:val="0"/>
              <w:pageBreakBefore w:val="0"/>
              <w:kinsoku/>
              <w:wordWrap/>
              <w:overflowPunct/>
              <w:topLinePunct w:val="0"/>
              <w:autoSpaceDE/>
              <w:autoSpaceDN/>
              <w:bidi w:val="0"/>
              <w:spacing w:line="336" w:lineRule="auto"/>
              <w:ind w:firstLine="480" w:firstLineChars="200"/>
              <w:textAlignment w:val="auto"/>
              <w:rPr>
                <w:rFonts w:hint="eastAsia"/>
                <w:color w:val="auto"/>
                <w:sz w:val="24"/>
                <w:szCs w:val="24"/>
                <w:lang w:val="en-US" w:eastAsia="zh-CN"/>
              </w:rPr>
            </w:pPr>
            <w:r>
              <w:rPr>
                <w:rFonts w:hint="eastAsia"/>
                <w:color w:val="auto"/>
                <w:sz w:val="24"/>
                <w:szCs w:val="24"/>
                <w:lang w:val="en-US" w:eastAsia="zh-CN"/>
              </w:rPr>
              <w:t>（11）《浙江省水污染防治条例》（2009年1月1日起施行，2020年11月27日第三次修正）；</w:t>
            </w:r>
          </w:p>
          <w:p>
            <w:pPr>
              <w:keepNext w:val="0"/>
              <w:keepLines w:val="0"/>
              <w:pageBreakBefore w:val="0"/>
              <w:kinsoku/>
              <w:wordWrap/>
              <w:overflowPunct/>
              <w:topLinePunct w:val="0"/>
              <w:autoSpaceDE/>
              <w:autoSpaceDN/>
              <w:bidi w:val="0"/>
              <w:spacing w:line="336" w:lineRule="auto"/>
              <w:ind w:firstLine="480" w:firstLineChars="200"/>
              <w:textAlignment w:val="auto"/>
              <w:rPr>
                <w:rFonts w:hint="eastAsia"/>
                <w:color w:val="auto"/>
                <w:sz w:val="24"/>
                <w:szCs w:val="24"/>
              </w:rPr>
            </w:pPr>
            <w:r>
              <w:rPr>
                <w:rFonts w:hint="eastAsia"/>
                <w:color w:val="auto"/>
                <w:sz w:val="24"/>
                <w:szCs w:val="24"/>
                <w:lang w:val="en-US" w:eastAsia="zh-CN"/>
              </w:rPr>
              <w:t>（12）《浙江省固体废物污染环境防治条例》（2023年1月1日起施行）；</w:t>
            </w:r>
          </w:p>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color w:val="auto"/>
                <w:sz w:val="24"/>
                <w:szCs w:val="24"/>
              </w:rPr>
            </w:pPr>
            <w:r>
              <w:rPr>
                <w:rFonts w:hint="eastAsia"/>
                <w:color w:val="auto"/>
                <w:sz w:val="24"/>
                <w:szCs w:val="24"/>
                <w:lang w:val="en-US" w:eastAsia="zh-CN"/>
              </w:rPr>
              <w:t>（13）</w:t>
            </w:r>
            <w:r>
              <w:rPr>
                <w:color w:val="auto"/>
                <w:sz w:val="24"/>
                <w:szCs w:val="24"/>
              </w:rPr>
              <w:t>《</w:t>
            </w:r>
            <w:r>
              <w:rPr>
                <w:rFonts w:hint="eastAsia"/>
                <w:color w:val="auto"/>
                <w:sz w:val="24"/>
                <w:szCs w:val="24"/>
                <w:lang w:val="en-US" w:eastAsia="zh-CN"/>
              </w:rPr>
              <w:t>浙江省生态环境保护条例</w:t>
            </w:r>
            <w:r>
              <w:rPr>
                <w:color w:val="auto"/>
                <w:sz w:val="24"/>
                <w:szCs w:val="24"/>
              </w:rPr>
              <w:t>》</w:t>
            </w:r>
            <w:r>
              <w:rPr>
                <w:rFonts w:hint="eastAsia"/>
                <w:color w:val="auto"/>
                <w:sz w:val="24"/>
                <w:szCs w:val="24"/>
              </w:rPr>
              <w:t>（202</w:t>
            </w:r>
            <w:r>
              <w:rPr>
                <w:rFonts w:hint="eastAsia"/>
                <w:color w:val="auto"/>
                <w:sz w:val="24"/>
                <w:szCs w:val="24"/>
                <w:lang w:val="en-US" w:eastAsia="zh-CN"/>
              </w:rPr>
              <w:t>2</w:t>
            </w:r>
            <w:r>
              <w:rPr>
                <w:rFonts w:hint="eastAsia"/>
                <w:color w:val="auto"/>
                <w:sz w:val="24"/>
                <w:szCs w:val="24"/>
              </w:rPr>
              <w:t>年</w:t>
            </w:r>
            <w:r>
              <w:rPr>
                <w:rFonts w:hint="eastAsia"/>
                <w:color w:val="auto"/>
                <w:sz w:val="24"/>
                <w:szCs w:val="24"/>
                <w:lang w:val="en-US" w:eastAsia="zh-CN"/>
              </w:rPr>
              <w:t>8</w:t>
            </w:r>
            <w:r>
              <w:rPr>
                <w:rFonts w:hint="eastAsia"/>
                <w:color w:val="auto"/>
                <w:sz w:val="24"/>
                <w:szCs w:val="24"/>
              </w:rPr>
              <w:t>月</w:t>
            </w:r>
            <w:r>
              <w:rPr>
                <w:rFonts w:hint="eastAsia"/>
                <w:color w:val="auto"/>
                <w:sz w:val="24"/>
                <w:szCs w:val="24"/>
                <w:lang w:val="en-US" w:eastAsia="zh-CN"/>
              </w:rPr>
              <w:t>1</w:t>
            </w:r>
            <w:r>
              <w:rPr>
                <w:rFonts w:hint="eastAsia"/>
                <w:color w:val="auto"/>
                <w:sz w:val="24"/>
                <w:szCs w:val="24"/>
              </w:rPr>
              <w:t>日起施行）；</w:t>
            </w:r>
          </w:p>
          <w:p>
            <w:pPr>
              <w:keepNext w:val="0"/>
              <w:keepLines w:val="0"/>
              <w:pageBreakBefore w:val="0"/>
              <w:kinsoku/>
              <w:wordWrap/>
              <w:overflowPunct/>
              <w:topLinePunct w:val="0"/>
              <w:autoSpaceDE/>
              <w:autoSpaceDN/>
              <w:bidi w:val="0"/>
              <w:spacing w:line="336" w:lineRule="auto"/>
              <w:textAlignment w:val="auto"/>
              <w:rPr>
                <w:b/>
                <w:color w:val="auto"/>
                <w:sz w:val="24"/>
                <w:szCs w:val="24"/>
              </w:rPr>
            </w:pPr>
            <w:r>
              <w:rPr>
                <w:b/>
                <w:color w:val="auto"/>
                <w:sz w:val="24"/>
                <w:szCs w:val="24"/>
              </w:rPr>
              <w:t>2、建设项目</w:t>
            </w:r>
            <w:r>
              <w:rPr>
                <w:rFonts w:hint="eastAsia"/>
                <w:b/>
                <w:color w:val="auto"/>
                <w:sz w:val="24"/>
                <w:szCs w:val="24"/>
                <w:lang w:eastAsia="zh-CN"/>
              </w:rPr>
              <w:t>竣工</w:t>
            </w:r>
            <w:r>
              <w:rPr>
                <w:b/>
                <w:color w:val="auto"/>
                <w:sz w:val="24"/>
                <w:szCs w:val="24"/>
              </w:rPr>
              <w:t>环境保护验收技术规范</w:t>
            </w:r>
          </w:p>
          <w:p>
            <w:pPr>
              <w:keepNext w:val="0"/>
              <w:keepLines w:val="0"/>
              <w:pageBreakBefore w:val="0"/>
              <w:kinsoku/>
              <w:wordWrap/>
              <w:overflowPunct/>
              <w:topLinePunct w:val="0"/>
              <w:autoSpaceDE/>
              <w:autoSpaceDN/>
              <w:bidi w:val="0"/>
              <w:spacing w:line="336" w:lineRule="auto"/>
              <w:ind w:firstLine="480" w:firstLineChars="200"/>
              <w:textAlignment w:val="auto"/>
              <w:rPr>
                <w:color w:val="auto"/>
                <w:sz w:val="24"/>
                <w:szCs w:val="24"/>
              </w:rPr>
            </w:pPr>
            <w:r>
              <w:rPr>
                <w:color w:val="auto"/>
                <w:sz w:val="24"/>
                <w:szCs w:val="24"/>
              </w:rPr>
              <w:t>（1）生态环境部《建设项目</w:t>
            </w:r>
            <w:r>
              <w:rPr>
                <w:rFonts w:hint="eastAsia"/>
                <w:color w:val="auto"/>
                <w:sz w:val="24"/>
                <w:szCs w:val="24"/>
                <w:lang w:eastAsia="zh-CN"/>
              </w:rPr>
              <w:t>竣工</w:t>
            </w:r>
            <w:r>
              <w:rPr>
                <w:color w:val="auto"/>
                <w:sz w:val="24"/>
                <w:szCs w:val="24"/>
              </w:rPr>
              <w:t>环境保护验收技术指南</w:t>
            </w:r>
            <w:r>
              <w:rPr>
                <w:rFonts w:hint="eastAsia"/>
                <w:color w:val="auto"/>
                <w:sz w:val="24"/>
                <w:szCs w:val="24"/>
              </w:rPr>
              <w:t xml:space="preserve"> </w:t>
            </w:r>
            <w:r>
              <w:rPr>
                <w:color w:val="auto"/>
                <w:sz w:val="24"/>
                <w:szCs w:val="24"/>
              </w:rPr>
              <w:t>污染影响类》，公告2018年第9号，2018年5月16日；</w:t>
            </w:r>
          </w:p>
          <w:p>
            <w:pPr>
              <w:keepNext w:val="0"/>
              <w:keepLines w:val="0"/>
              <w:pageBreakBefore w:val="0"/>
              <w:kinsoku/>
              <w:wordWrap/>
              <w:overflowPunct/>
              <w:topLinePunct w:val="0"/>
              <w:autoSpaceDE/>
              <w:autoSpaceDN/>
              <w:bidi w:val="0"/>
              <w:spacing w:line="336" w:lineRule="auto"/>
              <w:ind w:firstLine="480" w:firstLineChars="200"/>
              <w:textAlignment w:val="auto"/>
              <w:rPr>
                <w:color w:val="auto"/>
                <w:sz w:val="24"/>
                <w:szCs w:val="24"/>
              </w:rPr>
            </w:pPr>
            <w:r>
              <w:rPr>
                <w:color w:val="auto"/>
                <w:sz w:val="24"/>
                <w:szCs w:val="24"/>
              </w:rPr>
              <w:t>（2）浙江省环境监测中心《浙江省环境监测质量保证技术规定》（第</w:t>
            </w:r>
            <w:r>
              <w:rPr>
                <w:rFonts w:hint="eastAsia"/>
                <w:color w:val="auto"/>
                <w:sz w:val="24"/>
                <w:szCs w:val="24"/>
              </w:rPr>
              <w:t>三</w:t>
            </w:r>
            <w:r>
              <w:rPr>
                <w:color w:val="auto"/>
                <w:sz w:val="24"/>
                <w:szCs w:val="24"/>
              </w:rPr>
              <w:t>版试行），201</w:t>
            </w:r>
            <w:r>
              <w:rPr>
                <w:rFonts w:hint="eastAsia"/>
                <w:color w:val="auto"/>
                <w:sz w:val="24"/>
                <w:szCs w:val="24"/>
              </w:rPr>
              <w:t>9年10月</w:t>
            </w:r>
            <w:r>
              <w:rPr>
                <w:color w:val="auto"/>
                <w:sz w:val="24"/>
                <w:szCs w:val="24"/>
              </w:rPr>
              <w:t>；</w:t>
            </w:r>
          </w:p>
          <w:p>
            <w:pPr>
              <w:keepNext w:val="0"/>
              <w:keepLines w:val="0"/>
              <w:pageBreakBefore w:val="0"/>
              <w:kinsoku/>
              <w:wordWrap/>
              <w:overflowPunct/>
              <w:topLinePunct w:val="0"/>
              <w:autoSpaceDE/>
              <w:autoSpaceDN/>
              <w:bidi w:val="0"/>
              <w:spacing w:line="336" w:lineRule="auto"/>
              <w:textAlignment w:val="auto"/>
              <w:rPr>
                <w:b/>
                <w:color w:val="auto"/>
                <w:sz w:val="24"/>
                <w:szCs w:val="24"/>
              </w:rPr>
            </w:pPr>
            <w:r>
              <w:rPr>
                <w:b/>
                <w:color w:val="auto"/>
                <w:sz w:val="24"/>
                <w:szCs w:val="24"/>
              </w:rPr>
              <w:t>3、建设项目环境影响报告表及其审批决定</w:t>
            </w:r>
          </w:p>
          <w:p>
            <w:pPr>
              <w:keepNext w:val="0"/>
              <w:keepLines w:val="0"/>
              <w:pageBreakBefore w:val="0"/>
              <w:kinsoku/>
              <w:wordWrap/>
              <w:overflowPunct/>
              <w:topLinePunct w:val="0"/>
              <w:autoSpaceDE/>
              <w:autoSpaceDN/>
              <w:bidi w:val="0"/>
              <w:spacing w:line="336" w:lineRule="auto"/>
              <w:ind w:firstLine="480" w:firstLineChars="200"/>
              <w:textAlignment w:val="auto"/>
              <w:rPr>
                <w:color w:val="auto"/>
                <w:sz w:val="24"/>
                <w:szCs w:val="24"/>
              </w:rPr>
            </w:pPr>
            <w:r>
              <w:rPr>
                <w:color w:val="auto"/>
                <w:sz w:val="24"/>
                <w:szCs w:val="24"/>
              </w:rPr>
              <w:t>（1）</w:t>
            </w:r>
            <w:r>
              <w:rPr>
                <w:rFonts w:hint="eastAsia"/>
                <w:color w:val="auto"/>
                <w:sz w:val="24"/>
                <w:szCs w:val="24"/>
                <w:lang w:val="en-US" w:eastAsia="zh-CN"/>
              </w:rPr>
              <w:t>杭州广岩科技有限公司编制的</w:t>
            </w:r>
            <w:r>
              <w:rPr>
                <w:color w:val="auto"/>
                <w:sz w:val="24"/>
                <w:szCs w:val="24"/>
              </w:rPr>
              <w:t>《</w:t>
            </w:r>
            <w:r>
              <w:rPr>
                <w:rFonts w:hint="eastAsia"/>
                <w:color w:val="auto"/>
                <w:sz w:val="24"/>
                <w:szCs w:val="24"/>
                <w:lang w:val="en-US" w:eastAsia="zh-CN"/>
              </w:rPr>
              <w:t>浙江维连风然传感科技有限公司新建年产智能温度传感器200万件项目建设项目环境影响报告表</w:t>
            </w:r>
            <w:r>
              <w:rPr>
                <w:color w:val="auto"/>
                <w:sz w:val="24"/>
                <w:szCs w:val="24"/>
              </w:rPr>
              <w:t>》，</w:t>
            </w:r>
            <w:r>
              <w:rPr>
                <w:rFonts w:hint="eastAsia"/>
                <w:color w:val="auto"/>
                <w:sz w:val="24"/>
                <w:szCs w:val="24"/>
                <w:lang w:val="en-US" w:eastAsia="zh-CN"/>
              </w:rPr>
              <w:t>2022</w:t>
            </w:r>
            <w:r>
              <w:rPr>
                <w:rFonts w:hint="eastAsia"/>
                <w:color w:val="auto"/>
                <w:sz w:val="24"/>
                <w:szCs w:val="24"/>
              </w:rPr>
              <w:t>年</w:t>
            </w:r>
            <w:r>
              <w:rPr>
                <w:rFonts w:hint="eastAsia"/>
                <w:color w:val="auto"/>
                <w:sz w:val="24"/>
                <w:szCs w:val="24"/>
                <w:lang w:val="en-US" w:eastAsia="zh-CN"/>
              </w:rPr>
              <w:t>09月</w:t>
            </w:r>
            <w:r>
              <w:rPr>
                <w:color w:val="auto"/>
                <w:sz w:val="24"/>
                <w:szCs w:val="24"/>
              </w:rPr>
              <w:t>；</w:t>
            </w:r>
          </w:p>
          <w:p>
            <w:pPr>
              <w:keepNext w:val="0"/>
              <w:keepLines w:val="0"/>
              <w:pageBreakBefore w:val="0"/>
              <w:kinsoku/>
              <w:wordWrap/>
              <w:overflowPunct/>
              <w:topLinePunct w:val="0"/>
              <w:autoSpaceDE/>
              <w:autoSpaceDN/>
              <w:bidi w:val="0"/>
              <w:spacing w:line="336" w:lineRule="auto"/>
              <w:ind w:firstLine="480" w:firstLineChars="200"/>
              <w:textAlignment w:val="auto"/>
              <w:rPr>
                <w:color w:val="auto"/>
                <w:sz w:val="24"/>
                <w:szCs w:val="24"/>
              </w:rPr>
            </w:pPr>
            <w:r>
              <w:rPr>
                <w:color w:val="auto"/>
                <w:sz w:val="24"/>
                <w:szCs w:val="24"/>
              </w:rPr>
              <w:t>（2）</w:t>
            </w:r>
            <w:r>
              <w:rPr>
                <w:rFonts w:hint="eastAsia"/>
                <w:sz w:val="24"/>
                <w:szCs w:val="24"/>
                <w:lang w:val="en-US" w:eastAsia="zh-CN"/>
              </w:rPr>
              <w:t>嘉兴市生态环境局</w:t>
            </w:r>
            <w:r>
              <w:rPr>
                <w:rFonts w:hint="eastAsia"/>
                <w:color w:val="auto"/>
                <w:sz w:val="24"/>
                <w:szCs w:val="24"/>
                <w:lang w:val="en-US" w:eastAsia="zh-CN"/>
              </w:rPr>
              <w:t>《关于浙江维连风然传感科技有限公司新建年产智能温度传感器200万件项目环境影响报告表的批复》</w:t>
            </w:r>
            <w:r>
              <w:rPr>
                <w:rFonts w:hint="eastAsia"/>
                <w:color w:val="auto"/>
                <w:sz w:val="24"/>
                <w:szCs w:val="24"/>
                <w:lang w:eastAsia="zh-CN"/>
              </w:rPr>
              <w:t>（</w:t>
            </w:r>
            <w:r>
              <w:rPr>
                <w:rFonts w:hint="eastAsia"/>
                <w:color w:val="auto"/>
                <w:sz w:val="24"/>
                <w:szCs w:val="24"/>
                <w:lang w:val="en-US" w:eastAsia="zh-CN"/>
              </w:rPr>
              <w:t>嘉环（善）建[2022]109号</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w:t>
            </w:r>
            <w:r>
              <w:rPr>
                <w:rFonts w:hint="eastAsia"/>
                <w:color w:val="auto"/>
                <w:sz w:val="24"/>
                <w:szCs w:val="24"/>
                <w:lang w:val="en-US" w:eastAsia="zh-CN"/>
              </w:rPr>
              <w:t>2022</w:t>
            </w:r>
            <w:r>
              <w:rPr>
                <w:rFonts w:hint="eastAsia"/>
                <w:color w:val="auto"/>
                <w:sz w:val="24"/>
                <w:szCs w:val="24"/>
              </w:rPr>
              <w:t>年</w:t>
            </w:r>
            <w:r>
              <w:rPr>
                <w:rFonts w:hint="eastAsia"/>
                <w:color w:val="auto"/>
                <w:sz w:val="24"/>
                <w:szCs w:val="24"/>
                <w:lang w:val="en-US" w:eastAsia="zh-CN"/>
              </w:rPr>
              <w:t>12</w:t>
            </w:r>
            <w:r>
              <w:rPr>
                <w:rFonts w:hint="eastAsia"/>
                <w:color w:val="auto"/>
                <w:sz w:val="24"/>
                <w:szCs w:val="24"/>
              </w:rPr>
              <w:t>月</w:t>
            </w:r>
            <w:r>
              <w:rPr>
                <w:rFonts w:hint="eastAsia"/>
                <w:color w:val="auto"/>
                <w:sz w:val="24"/>
                <w:szCs w:val="24"/>
                <w:lang w:val="en-US" w:eastAsia="zh-CN"/>
              </w:rPr>
              <w:t>1</w:t>
            </w:r>
            <w:r>
              <w:rPr>
                <w:rFonts w:hint="eastAsia"/>
                <w:color w:val="auto"/>
                <w:sz w:val="24"/>
                <w:szCs w:val="24"/>
              </w:rPr>
              <w:t>日；</w:t>
            </w:r>
          </w:p>
          <w:p>
            <w:pPr>
              <w:keepNext w:val="0"/>
              <w:keepLines w:val="0"/>
              <w:pageBreakBefore w:val="0"/>
              <w:kinsoku/>
              <w:wordWrap/>
              <w:overflowPunct/>
              <w:topLinePunct w:val="0"/>
              <w:autoSpaceDE/>
              <w:autoSpaceDN/>
              <w:bidi w:val="0"/>
              <w:spacing w:line="336" w:lineRule="auto"/>
              <w:textAlignment w:val="auto"/>
              <w:rPr>
                <w:b/>
                <w:color w:val="auto"/>
                <w:sz w:val="24"/>
                <w:szCs w:val="24"/>
              </w:rPr>
            </w:pPr>
            <w:r>
              <w:rPr>
                <w:b/>
                <w:color w:val="auto"/>
                <w:sz w:val="24"/>
                <w:szCs w:val="24"/>
              </w:rPr>
              <w:t>4、其他相关文件</w:t>
            </w:r>
          </w:p>
          <w:p>
            <w:pPr>
              <w:keepNext w:val="0"/>
              <w:keepLines w:val="0"/>
              <w:pageBreakBefore w:val="0"/>
              <w:kinsoku/>
              <w:wordWrap/>
              <w:overflowPunct/>
              <w:topLinePunct w:val="0"/>
              <w:autoSpaceDE/>
              <w:autoSpaceDN/>
              <w:bidi w:val="0"/>
              <w:spacing w:line="336" w:lineRule="auto"/>
              <w:ind w:firstLine="480" w:firstLineChars="200"/>
              <w:textAlignment w:val="auto"/>
              <w:rPr>
                <w:b/>
                <w:color w:val="auto"/>
                <w:sz w:val="24"/>
                <w:szCs w:val="24"/>
              </w:rPr>
            </w:pPr>
            <w:r>
              <w:rPr>
                <w:rFonts w:hint="eastAsia"/>
                <w:color w:val="auto"/>
                <w:sz w:val="24"/>
                <w:szCs w:val="24"/>
                <w:lang w:val="en-US" w:eastAsia="zh-CN"/>
              </w:rPr>
              <w:t>本公司</w:t>
            </w:r>
            <w:r>
              <w:rPr>
                <w:color w:val="auto"/>
                <w:sz w:val="24"/>
                <w:szCs w:val="24"/>
              </w:rPr>
              <w:t>提供的其他相关资料。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65" w:hRule="atLeast"/>
          <w:jc w:val="center"/>
        </w:trPr>
        <w:tc>
          <w:tcPr>
            <w:tcW w:w="908" w:type="pct"/>
            <w:tcBorders>
              <w:top w:val="single" w:color="auto" w:sz="4" w:space="0"/>
              <w:bottom w:val="single" w:color="auto" w:sz="4" w:space="0"/>
            </w:tcBorders>
            <w:vAlign w:val="center"/>
          </w:tcPr>
          <w:p>
            <w:pPr>
              <w:spacing w:line="400" w:lineRule="exact"/>
              <w:jc w:val="center"/>
              <w:rPr>
                <w:sz w:val="24"/>
                <w:szCs w:val="24"/>
              </w:rPr>
            </w:pPr>
            <w:r>
              <w:rPr>
                <w:sz w:val="24"/>
                <w:szCs w:val="24"/>
              </w:rPr>
              <w:t>验收监测</w:t>
            </w:r>
          </w:p>
          <w:p>
            <w:pPr>
              <w:spacing w:line="400" w:lineRule="exact"/>
              <w:jc w:val="center"/>
              <w:rPr>
                <w:sz w:val="24"/>
                <w:szCs w:val="24"/>
              </w:rPr>
            </w:pPr>
            <w:r>
              <w:rPr>
                <w:sz w:val="24"/>
                <w:szCs w:val="24"/>
              </w:rPr>
              <w:t>评价标准</w:t>
            </w:r>
          </w:p>
        </w:tc>
        <w:tc>
          <w:tcPr>
            <w:tcW w:w="4091" w:type="pct"/>
            <w:gridSpan w:val="5"/>
            <w:tcBorders>
              <w:top w:val="single" w:color="auto" w:sz="4" w:space="0"/>
              <w:bottom w:val="single" w:color="auto" w:sz="4" w:space="0"/>
            </w:tcBorders>
          </w:tcPr>
          <w:p>
            <w:pPr>
              <w:pStyle w:val="8"/>
              <w:spacing w:line="360" w:lineRule="auto"/>
              <w:ind w:firstLine="0" w:firstLineChars="0"/>
              <w:rPr>
                <w:rFonts w:hint="eastAsia" w:eastAsia="宋体"/>
                <w:b/>
                <w:bCs/>
                <w:sz w:val="24"/>
                <w:szCs w:val="24"/>
                <w:lang w:eastAsia="zh-CN"/>
              </w:rPr>
            </w:pPr>
            <w:r>
              <w:rPr>
                <w:b/>
                <w:bCs/>
                <w:sz w:val="24"/>
                <w:szCs w:val="24"/>
              </w:rPr>
              <w:t>1、</w:t>
            </w:r>
            <w:r>
              <w:rPr>
                <w:rFonts w:hint="eastAsia"/>
                <w:b/>
                <w:bCs/>
                <w:sz w:val="24"/>
                <w:szCs w:val="24"/>
              </w:rPr>
              <w:t>废</w:t>
            </w:r>
            <w:r>
              <w:rPr>
                <w:rFonts w:hint="eastAsia"/>
                <w:b/>
                <w:bCs/>
                <w:sz w:val="24"/>
                <w:szCs w:val="24"/>
                <w:lang w:val="en-US" w:eastAsia="zh-CN"/>
              </w:rPr>
              <w:t>水</w:t>
            </w:r>
          </w:p>
          <w:p>
            <w:pPr>
              <w:spacing w:line="360" w:lineRule="auto"/>
              <w:ind w:firstLine="480" w:firstLineChars="200"/>
              <w:rPr>
                <w:rFonts w:hint="default" w:cs="Times New Roman"/>
                <w:kern w:val="0"/>
                <w:sz w:val="24"/>
                <w:szCs w:val="24"/>
                <w:lang w:val="en-US" w:eastAsia="zh-CN"/>
              </w:rPr>
            </w:pPr>
            <w:r>
              <w:rPr>
                <w:rFonts w:hint="eastAsia" w:cs="Times New Roman"/>
                <w:kern w:val="0"/>
                <w:sz w:val="24"/>
                <w:szCs w:val="24"/>
                <w:lang w:val="en-US" w:eastAsia="zh-CN"/>
              </w:rPr>
              <w:t>本项目废水主要为生活污水，生活污水经化粪池处理达</w:t>
            </w:r>
            <w:r>
              <w:rPr>
                <w:rFonts w:hint="default" w:ascii="Times New Roman" w:hAnsi="Times New Roman" w:eastAsia="宋体" w:cs="Times New Roman"/>
                <w:color w:val="auto"/>
                <w:kern w:val="0"/>
                <w:sz w:val="24"/>
                <w:szCs w:val="24"/>
                <w:lang w:val="en-GB" w:eastAsia="zh-CN" w:bidi="ar-SA"/>
              </w:rPr>
              <w:t>《</w:t>
            </w:r>
            <w:r>
              <w:rPr>
                <w:rFonts w:hint="eastAsia" w:ascii="Times New Roman" w:hAnsi="Times New Roman" w:eastAsia="宋体" w:cs="Times New Roman"/>
                <w:color w:val="auto"/>
                <w:kern w:val="0"/>
                <w:sz w:val="24"/>
                <w:szCs w:val="24"/>
                <w:lang w:val="en-US" w:eastAsia="zh-CN" w:bidi="ar-SA"/>
              </w:rPr>
              <w:t>污水综合排放标准</w:t>
            </w:r>
            <w:r>
              <w:rPr>
                <w:rFonts w:hint="default" w:ascii="Times New Roman" w:hAnsi="Times New Roman" w:eastAsia="宋体" w:cs="Times New Roman"/>
                <w:color w:val="auto"/>
                <w:kern w:val="0"/>
                <w:sz w:val="24"/>
                <w:szCs w:val="24"/>
                <w:lang w:val="en-GB" w:eastAsia="zh-CN" w:bidi="ar-SA"/>
              </w:rPr>
              <w:t>》（</w:t>
            </w:r>
            <w:r>
              <w:rPr>
                <w:rFonts w:hint="default" w:ascii="Times New Roman" w:hAnsi="Times New Roman" w:eastAsia="宋体" w:cs="Times New Roman"/>
                <w:color w:val="auto"/>
                <w:kern w:val="0"/>
                <w:sz w:val="24"/>
                <w:szCs w:val="24"/>
                <w:lang w:val="en-US" w:eastAsia="zh-CN" w:bidi="ar-SA"/>
              </w:rPr>
              <w:t xml:space="preserve">GB </w:t>
            </w:r>
            <w:r>
              <w:rPr>
                <w:rFonts w:hint="eastAsia" w:ascii="Times New Roman" w:hAnsi="Times New Roman" w:eastAsia="宋体" w:cs="Times New Roman"/>
                <w:color w:val="auto"/>
                <w:kern w:val="0"/>
                <w:sz w:val="24"/>
                <w:szCs w:val="24"/>
                <w:lang w:val="en-US" w:eastAsia="zh-CN" w:bidi="ar-SA"/>
              </w:rPr>
              <w:t>8978-1996</w:t>
            </w:r>
            <w:r>
              <w:rPr>
                <w:rFonts w:hint="default" w:ascii="Times New Roman" w:hAnsi="Times New Roman" w:eastAsia="宋体" w:cs="Times New Roman"/>
                <w:color w:val="auto"/>
                <w:kern w:val="0"/>
                <w:sz w:val="24"/>
                <w:szCs w:val="24"/>
                <w:lang w:val="en-GB" w:eastAsia="zh-CN" w:bidi="ar-SA"/>
              </w:rPr>
              <w:t>）表</w:t>
            </w:r>
            <w:r>
              <w:rPr>
                <w:rFonts w:hint="eastAsia" w:ascii="Times New Roman" w:hAnsi="Times New Roman" w:eastAsia="宋体" w:cs="Times New Roman"/>
                <w:color w:val="auto"/>
                <w:kern w:val="0"/>
                <w:sz w:val="24"/>
                <w:szCs w:val="24"/>
                <w:lang w:val="en-US" w:eastAsia="zh-CN" w:bidi="ar-SA"/>
              </w:rPr>
              <w:t>4</w:t>
            </w:r>
            <w:r>
              <w:rPr>
                <w:rFonts w:hint="default" w:ascii="Times New Roman" w:hAnsi="Times New Roman" w:eastAsia="宋体" w:cs="Times New Roman"/>
                <w:color w:val="auto"/>
                <w:kern w:val="0"/>
                <w:sz w:val="24"/>
                <w:szCs w:val="24"/>
                <w:lang w:val="en-US" w:eastAsia="zh-CN" w:bidi="ar-SA"/>
              </w:rPr>
              <w:t>中</w:t>
            </w:r>
            <w:r>
              <w:rPr>
                <w:rFonts w:hint="eastAsia" w:ascii="Times New Roman" w:hAnsi="Times New Roman" w:eastAsia="宋体" w:cs="Times New Roman"/>
                <w:color w:val="auto"/>
                <w:kern w:val="0"/>
                <w:sz w:val="24"/>
                <w:szCs w:val="24"/>
                <w:lang w:val="en-US" w:eastAsia="zh-CN" w:bidi="ar-SA"/>
              </w:rPr>
              <w:t>三级</w:t>
            </w:r>
            <w:r>
              <w:rPr>
                <w:rFonts w:hint="default" w:ascii="Times New Roman" w:hAnsi="Times New Roman" w:eastAsia="宋体" w:cs="Times New Roman"/>
                <w:color w:val="auto"/>
                <w:kern w:val="0"/>
                <w:sz w:val="24"/>
                <w:szCs w:val="24"/>
                <w:lang w:val="en-US" w:eastAsia="zh-CN" w:bidi="ar-SA"/>
              </w:rPr>
              <w:t>排放限值</w:t>
            </w:r>
            <w:r>
              <w:rPr>
                <w:rFonts w:hint="eastAsia" w:ascii="Times New Roman" w:hAnsi="Times New Roman" w:cs="Times New Roman"/>
                <w:color w:val="auto"/>
                <w:kern w:val="0"/>
                <w:sz w:val="24"/>
                <w:szCs w:val="24"/>
                <w:lang w:val="en-US" w:eastAsia="zh-CN" w:bidi="ar-SA"/>
              </w:rPr>
              <w:t>后</w:t>
            </w:r>
            <w:r>
              <w:rPr>
                <w:rFonts w:hint="eastAsia" w:cs="Times New Roman"/>
                <w:kern w:val="0"/>
                <w:sz w:val="24"/>
                <w:szCs w:val="24"/>
                <w:lang w:val="en-US" w:eastAsia="zh-CN"/>
              </w:rPr>
              <w:t>纳入污水管网，最终</w:t>
            </w:r>
            <w:r>
              <w:rPr>
                <w:rFonts w:hint="eastAsia" w:cs="Times New Roman"/>
                <w:color w:val="auto"/>
                <w:kern w:val="0"/>
                <w:sz w:val="24"/>
                <w:szCs w:val="24"/>
                <w:lang w:val="en-US" w:eastAsia="zh-CN"/>
              </w:rPr>
              <w:t>经嘉兴市联合污水处理有限责任公司处理</w:t>
            </w:r>
            <w:r>
              <w:rPr>
                <w:rFonts w:hint="eastAsia" w:cs="Times New Roman"/>
                <w:kern w:val="0"/>
                <w:sz w:val="24"/>
                <w:szCs w:val="24"/>
                <w:lang w:val="en-US" w:eastAsia="zh-CN"/>
              </w:rPr>
              <w:t>达到《城镇污水处理厂污染物排放标准》（GB 18918-2002）一级A标准后排放。</w:t>
            </w:r>
            <w:r>
              <w:rPr>
                <w:rFonts w:hint="default" w:ascii="Times New Roman" w:hAnsi="Times New Roman" w:eastAsia="宋体" w:cs="Times New Roman"/>
                <w:color w:val="auto"/>
                <w:kern w:val="0"/>
                <w:sz w:val="24"/>
                <w:szCs w:val="24"/>
                <w:lang w:val="en-GB" w:eastAsia="zh-CN" w:bidi="ar-SA"/>
              </w:rPr>
              <w:t>具体见表</w:t>
            </w:r>
            <w:r>
              <w:rPr>
                <w:rFonts w:hint="default" w:ascii="Times New Roman" w:hAnsi="Times New Roman" w:eastAsia="宋体" w:cs="Times New Roman"/>
                <w:color w:val="auto"/>
                <w:kern w:val="0"/>
                <w:sz w:val="24"/>
                <w:szCs w:val="24"/>
                <w:lang w:val="en-US" w:eastAsia="zh-CN" w:bidi="ar-SA"/>
              </w:rPr>
              <w:t>1-1</w:t>
            </w:r>
            <w:r>
              <w:rPr>
                <w:rFonts w:hint="eastAsia" w:ascii="Times New Roman" w:hAnsi="Times New Roman" w:cs="Times New Roman"/>
                <w:color w:val="auto"/>
                <w:kern w:val="0"/>
                <w:sz w:val="24"/>
                <w:szCs w:val="24"/>
                <w:lang w:val="en-US" w:eastAsia="zh-CN" w:bidi="ar-SA"/>
              </w:rPr>
              <w:t>。</w:t>
            </w:r>
          </w:p>
          <w:p>
            <w:pPr>
              <w:keepNext w:val="0"/>
              <w:keepLines w:val="0"/>
              <w:pageBreakBefore w:val="0"/>
              <w:widowControl w:val="0"/>
              <w:kinsoku/>
              <w:wordWrap/>
              <w:overflowPunct/>
              <w:topLinePunct w:val="0"/>
              <w:autoSpaceDE/>
              <w:autoSpaceDN/>
              <w:bidi w:val="0"/>
              <w:spacing w:line="276" w:lineRule="auto"/>
              <w:jc w:val="center"/>
              <w:textAlignment w:val="auto"/>
              <w:outlineLvl w:val="9"/>
              <w:rPr>
                <w:rFonts w:hint="default" w:ascii="Times New Roman" w:hAnsi="Times New Roman" w:eastAsia="宋体" w:cs="Times New Roman"/>
                <w:color w:val="auto"/>
                <w:sz w:val="21"/>
                <w:szCs w:val="21"/>
              </w:rPr>
            </w:pPr>
            <w:bookmarkStart w:id="5" w:name="_Toc3647_WPSOffice_Level3"/>
            <w:bookmarkStart w:id="6" w:name="_Toc9353_WPSOffice_Level3"/>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 xml:space="preserve">1 </w:t>
            </w:r>
            <w:r>
              <w:rPr>
                <w:rFonts w:hint="default" w:ascii="Times New Roman" w:hAnsi="Times New Roman" w:eastAsia="宋体" w:cs="Times New Roman"/>
                <w:b/>
                <w:bCs/>
                <w:color w:val="auto"/>
                <w:sz w:val="21"/>
                <w:szCs w:val="21"/>
              </w:rPr>
              <w:t>废水中污染物排放限值</w:t>
            </w:r>
            <w:bookmarkEnd w:id="5"/>
            <w:bookmarkEnd w:id="6"/>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8"/>
              <w:gridCol w:w="1252"/>
              <w:gridCol w:w="2150"/>
              <w:gridCol w:w="2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单位</w:t>
                  </w:r>
                </w:p>
              </w:tc>
              <w:tc>
                <w:tcPr>
                  <w:tcW w:w="1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GB</w:t>
                  </w:r>
                  <w:r>
                    <w:rPr>
                      <w:rFonts w:hint="eastAsia" w:ascii="Times New Roman" w:hAnsi="Times New Roman" w:eastAsia="宋体" w:cs="Times New Roman"/>
                      <w:b/>
                      <w:bCs/>
                      <w:color w:val="auto"/>
                      <w:sz w:val="21"/>
                      <w:szCs w:val="21"/>
                      <w:lang w:val="en-US" w:eastAsia="zh-CN"/>
                    </w:rPr>
                    <w:t xml:space="preserve"> 8978-1996</w:t>
                  </w:r>
                </w:p>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三级标准限值</w:t>
                  </w:r>
                </w:p>
              </w:tc>
              <w:tc>
                <w:tcPr>
                  <w:tcW w:w="140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b/>
                      <w:bCs/>
                      <w:color w:val="auto"/>
                      <w:sz w:val="21"/>
                      <w:szCs w:val="21"/>
                      <w:lang w:val="en-GB"/>
                    </w:rPr>
                  </w:pPr>
                  <w:r>
                    <w:rPr>
                      <w:rFonts w:hint="default" w:ascii="Times New Roman" w:hAnsi="Times New Roman" w:eastAsia="宋体" w:cs="Times New Roman"/>
                      <w:b/>
                      <w:bCs/>
                      <w:color w:val="auto"/>
                      <w:sz w:val="21"/>
                      <w:szCs w:val="21"/>
                      <w:lang w:val="en-GB"/>
                    </w:rPr>
                    <w:t>GB</w:t>
                  </w:r>
                  <w:r>
                    <w:rPr>
                      <w:rFonts w:hint="eastAsia"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lang w:val="en-GB"/>
                    </w:rPr>
                    <w:t>18918-2002</w:t>
                  </w:r>
                </w:p>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一级A标准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无量纲</w:t>
                  </w:r>
                </w:p>
              </w:tc>
              <w:tc>
                <w:tcPr>
                  <w:tcW w:w="1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6~9</w:t>
                  </w:r>
                </w:p>
              </w:tc>
              <w:tc>
                <w:tcPr>
                  <w:tcW w:w="1404" w:type="pct"/>
                  <w:noWrap w:val="0"/>
                  <w:vAlign w:val="center"/>
                </w:tcPr>
                <w:p>
                  <w:pPr>
                    <w:pStyle w:val="101"/>
                    <w:keepNext w:val="0"/>
                    <w:keepLines w:val="0"/>
                    <w:pageBreakBefore w:val="0"/>
                    <w:widowControl w:val="0"/>
                    <w:kinsoku/>
                    <w:wordWrap/>
                    <w:overflowPunct/>
                    <w:topLinePunct w:val="0"/>
                    <w:autoSpaceDE/>
                    <w:autoSpaceDN/>
                    <w:bidi w:val="0"/>
                    <w:adjustRightInd w:val="0"/>
                    <w:snapToGrid w:val="0"/>
                    <w:spacing w:line="280" w:lineRule="exact"/>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COD</w:t>
                  </w:r>
                  <w:r>
                    <w:rPr>
                      <w:rFonts w:hint="default" w:ascii="Times New Roman" w:hAnsi="Times New Roman" w:cs="Times New Roman"/>
                      <w:color w:val="auto"/>
                      <w:sz w:val="21"/>
                      <w:szCs w:val="21"/>
                      <w:lang w:val="en-US" w:eastAsia="zh-CN"/>
                    </w:rPr>
                    <w:t>cr</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1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00</w:t>
                  </w:r>
                </w:p>
              </w:tc>
              <w:tc>
                <w:tcPr>
                  <w:tcW w:w="1404" w:type="pct"/>
                  <w:noWrap w:val="0"/>
                  <w:vAlign w:val="center"/>
                </w:tcPr>
                <w:p>
                  <w:pPr>
                    <w:pStyle w:val="101"/>
                    <w:keepNext w:val="0"/>
                    <w:keepLines w:val="0"/>
                    <w:pageBreakBefore w:val="0"/>
                    <w:widowControl w:val="0"/>
                    <w:kinsoku/>
                    <w:wordWrap/>
                    <w:overflowPunct/>
                    <w:topLinePunct w:val="0"/>
                    <w:autoSpaceDE/>
                    <w:autoSpaceDN/>
                    <w:bidi w:val="0"/>
                    <w:adjustRightInd w:val="0"/>
                    <w:snapToGrid w:val="0"/>
                    <w:spacing w:line="280" w:lineRule="exact"/>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1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5</w:t>
                  </w:r>
                  <w:r>
                    <w:rPr>
                      <w:rFonts w:hint="eastAsia" w:eastAsiaTheme="minorEastAsia"/>
                      <w:sz w:val="21"/>
                      <w:szCs w:val="21"/>
                      <w:vertAlign w:val="superscript"/>
                      <w:lang w:val="en-US" w:eastAsia="zh-CN"/>
                    </w:rPr>
                    <w:t>①</w:t>
                  </w:r>
                </w:p>
              </w:tc>
              <w:tc>
                <w:tcPr>
                  <w:tcW w:w="1404" w:type="pct"/>
                  <w:noWrap w:val="0"/>
                  <w:vAlign w:val="center"/>
                </w:tcPr>
                <w:p>
                  <w:pPr>
                    <w:pStyle w:val="101"/>
                    <w:keepNext w:val="0"/>
                    <w:keepLines w:val="0"/>
                    <w:pageBreakBefore w:val="0"/>
                    <w:widowControl w:val="0"/>
                    <w:kinsoku/>
                    <w:wordWrap/>
                    <w:overflowPunct/>
                    <w:topLinePunct w:val="0"/>
                    <w:autoSpaceDE/>
                    <w:autoSpaceDN/>
                    <w:bidi w:val="0"/>
                    <w:adjustRightInd w:val="0"/>
                    <w:snapToGrid w:val="0"/>
                    <w:spacing w:line="280" w:lineRule="exact"/>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rPr>
                    <w:t>5</w:t>
                  </w: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8</w:t>
                  </w:r>
                  <w:r>
                    <w:rPr>
                      <w:rFonts w:hint="eastAsia" w:ascii="Times New Roman" w:hAnsi="Times New Roman" w:eastAsia="宋体"/>
                      <w:sz w:val="21"/>
                      <w:szCs w:val="21"/>
                      <w:lang w:eastAsia="zh-CN"/>
                    </w:rPr>
                    <w:t>）</w:t>
                  </w:r>
                  <w:r>
                    <w:rPr>
                      <w:rFonts w:hint="eastAsia" w:eastAsiaTheme="minorEastAsia"/>
                      <w:sz w:val="21"/>
                      <w:szCs w:val="21"/>
                      <w:vertAlign w:val="superscript"/>
                      <w:lang w:val="en-US" w:eastAsia="zh-CN"/>
                    </w:rPr>
                    <w:t>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总磷</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1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r>
                    <w:rPr>
                      <w:rFonts w:hint="eastAsia" w:eastAsiaTheme="minorEastAsia"/>
                      <w:sz w:val="21"/>
                      <w:szCs w:val="21"/>
                      <w:vertAlign w:val="superscript"/>
                      <w:lang w:val="en-US" w:eastAsia="zh-CN"/>
                    </w:rPr>
                    <w:t>①</w:t>
                  </w:r>
                </w:p>
              </w:tc>
              <w:tc>
                <w:tcPr>
                  <w:tcW w:w="1404" w:type="pct"/>
                  <w:noWrap w:val="0"/>
                  <w:vAlign w:val="center"/>
                </w:tcPr>
                <w:p>
                  <w:pPr>
                    <w:pStyle w:val="101"/>
                    <w:keepNext w:val="0"/>
                    <w:keepLines w:val="0"/>
                    <w:pageBreakBefore w:val="0"/>
                    <w:widowControl w:val="0"/>
                    <w:kinsoku/>
                    <w:wordWrap/>
                    <w:overflowPunct/>
                    <w:topLinePunct w:val="0"/>
                    <w:autoSpaceDE/>
                    <w:autoSpaceDN/>
                    <w:bidi w:val="0"/>
                    <w:adjustRightInd w:val="0"/>
                    <w:snapToGrid w:val="0"/>
                    <w:spacing w:line="280" w:lineRule="exact"/>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SS</w:t>
                  </w:r>
                </w:p>
              </w:tc>
              <w:tc>
                <w:tcPr>
                  <w:tcW w:w="8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143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400</w:t>
                  </w:r>
                </w:p>
              </w:tc>
              <w:tc>
                <w:tcPr>
                  <w:tcW w:w="1404" w:type="pct"/>
                  <w:noWrap w:val="0"/>
                  <w:vAlign w:val="center"/>
                </w:tcPr>
                <w:p>
                  <w:pPr>
                    <w:pStyle w:val="101"/>
                    <w:keepNext w:val="0"/>
                    <w:keepLines w:val="0"/>
                    <w:pageBreakBefore w:val="0"/>
                    <w:widowControl w:val="0"/>
                    <w:kinsoku/>
                    <w:wordWrap/>
                    <w:overflowPunct/>
                    <w:topLinePunct w:val="0"/>
                    <w:autoSpaceDE/>
                    <w:autoSpaceDN/>
                    <w:bidi w:val="0"/>
                    <w:adjustRightInd w:val="0"/>
                    <w:snapToGrid w:val="0"/>
                    <w:spacing w:line="280" w:lineRule="exact"/>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5000" w:type="pct"/>
                  <w:gridSpan w:val="4"/>
                  <w:noWrap w:val="0"/>
                  <w:vAlign w:val="center"/>
                </w:tcPr>
                <w:p>
                  <w:pPr>
                    <w:keepNext w:val="0"/>
                    <w:keepLines w:val="0"/>
                    <w:pageBreakBefore w:val="0"/>
                    <w:widowControl w:val="0"/>
                    <w:kinsoku/>
                    <w:wordWrap/>
                    <w:overflowPunct/>
                    <w:topLinePunct w:val="0"/>
                    <w:autoSpaceDE/>
                    <w:autoSpaceDN/>
                    <w:bidi w:val="0"/>
                    <w:spacing w:line="280" w:lineRule="exact"/>
                    <w:jc w:val="left"/>
                    <w:textAlignment w:val="auto"/>
                    <w:outlineLvl w:val="9"/>
                    <w:rPr>
                      <w:rFonts w:hint="default" w:ascii="Times New Roman" w:hAnsi="Times New Roman" w:eastAsia="宋体"/>
                      <w:b w:val="0"/>
                      <w:bCs w:val="0"/>
                      <w:sz w:val="21"/>
                      <w:szCs w:val="21"/>
                      <w:lang w:val="en-US"/>
                    </w:rPr>
                  </w:pPr>
                  <w:r>
                    <w:rPr>
                      <w:rFonts w:ascii="Times New Roman" w:hAnsi="Times New Roman" w:eastAsia="宋体"/>
                      <w:b w:val="0"/>
                      <w:bCs w:val="0"/>
                      <w:sz w:val="21"/>
                      <w:szCs w:val="21"/>
                    </w:rPr>
                    <w:t>注：</w:t>
                  </w:r>
                  <w:r>
                    <w:rPr>
                      <w:rFonts w:hint="eastAsia" w:eastAsiaTheme="minorEastAsia"/>
                      <w:sz w:val="21"/>
                      <w:szCs w:val="21"/>
                      <w:vertAlign w:val="baseline"/>
                      <w:lang w:val="en-US" w:eastAsia="zh-CN"/>
                    </w:rPr>
                    <w:t>①</w:t>
                  </w:r>
                  <w:r>
                    <w:rPr>
                      <w:rFonts w:hint="eastAsia" w:ascii="Times New Roman" w:hAnsi="Times New Roman" w:eastAsia="宋体"/>
                      <w:b w:val="0"/>
                      <w:bCs w:val="0"/>
                      <w:sz w:val="21"/>
                      <w:szCs w:val="21"/>
                      <w:lang w:val="en-US" w:eastAsia="zh-CN"/>
                    </w:rPr>
                    <w:t>氨氮、总磷执行《工业企业废水氮、磷污染物间接排放限值》（DB 33/ 887-2013）表1中间接排放限值；</w:t>
                  </w:r>
                </w:p>
                <w:p>
                  <w:pPr>
                    <w:keepNext w:val="0"/>
                    <w:keepLines w:val="0"/>
                    <w:pageBreakBefore w:val="0"/>
                    <w:widowControl w:val="0"/>
                    <w:kinsoku/>
                    <w:wordWrap/>
                    <w:overflowPunct/>
                    <w:topLinePunct w:val="0"/>
                    <w:autoSpaceDE/>
                    <w:autoSpaceDN/>
                    <w:bidi w:val="0"/>
                    <w:spacing w:line="280" w:lineRule="exact"/>
                    <w:jc w:val="left"/>
                    <w:textAlignment w:val="auto"/>
                    <w:outlineLvl w:val="9"/>
                    <w:rPr>
                      <w:rFonts w:hint="default" w:ascii="Times New Roman" w:hAnsi="Times New Roman" w:eastAsia="宋体" w:cs="Times New Roman"/>
                      <w:color w:val="auto"/>
                      <w:sz w:val="21"/>
                      <w:szCs w:val="21"/>
                      <w:lang w:val="en-US" w:eastAsia="zh-CN"/>
                    </w:rPr>
                  </w:pPr>
                  <w:r>
                    <w:rPr>
                      <w:rFonts w:hint="eastAsia" w:eastAsiaTheme="minorEastAsia"/>
                      <w:sz w:val="21"/>
                      <w:szCs w:val="21"/>
                      <w:vertAlign w:val="baseline"/>
                      <w:lang w:val="en-US" w:eastAsia="zh-CN"/>
                    </w:rPr>
                    <w:t>②</w:t>
                  </w:r>
                  <w:r>
                    <w:rPr>
                      <w:rFonts w:ascii="Times New Roman" w:hAnsi="Times New Roman" w:eastAsia="宋体"/>
                      <w:b w:val="0"/>
                      <w:bCs w:val="0"/>
                      <w:sz w:val="21"/>
                      <w:szCs w:val="21"/>
                      <w:vertAlign w:val="baseline"/>
                    </w:rPr>
                    <w:t>括</w:t>
                  </w:r>
                  <w:r>
                    <w:rPr>
                      <w:rFonts w:ascii="Times New Roman" w:hAnsi="Times New Roman" w:eastAsia="宋体"/>
                      <w:b w:val="0"/>
                      <w:bCs w:val="0"/>
                      <w:sz w:val="21"/>
                      <w:szCs w:val="21"/>
                    </w:rPr>
                    <w:t>号外数值为</w:t>
                  </w:r>
                  <w:r>
                    <w:rPr>
                      <w:rFonts w:hint="default" w:ascii="Times New Roman" w:hAnsi="Times New Roman" w:eastAsia="宋体" w:cs="Times New Roman"/>
                      <w:b w:val="0"/>
                      <w:bCs w:val="0"/>
                      <w:sz w:val="21"/>
                      <w:szCs w:val="21"/>
                    </w:rPr>
                    <w:t>水温</w:t>
                  </w:r>
                  <w:r>
                    <w:rPr>
                      <w:rFonts w:hint="eastAsia" w:ascii="Times New Roman" w:hAnsi="Times New Roman" w:eastAsia="宋体" w:cs="Times New Roman"/>
                      <w:b w:val="0"/>
                      <w:bCs w:val="0"/>
                      <w:sz w:val="21"/>
                      <w:szCs w:val="21"/>
                      <w:lang w:val="en-US" w:eastAsia="zh-CN"/>
                    </w:rPr>
                    <w:t>&gt;</w:t>
                  </w:r>
                  <w:r>
                    <w:rPr>
                      <w:rFonts w:hint="default" w:ascii="Times New Roman" w:hAnsi="Times New Roman" w:eastAsia="宋体" w:cs="Times New Roman"/>
                      <w:b w:val="0"/>
                      <w:bCs w:val="0"/>
                      <w:sz w:val="21"/>
                      <w:szCs w:val="21"/>
                    </w:rPr>
                    <w:t>12℃时的控制指标，括号内数值为水温</w:t>
                  </w:r>
                  <w:r>
                    <w:rPr>
                      <w:rFonts w:hint="default" w:ascii="Times New Roman" w:hAnsi="Times New Roman" w:cs="Times New Roman"/>
                      <w:b w:val="0"/>
                      <w:bCs w:val="0"/>
                      <w:sz w:val="21"/>
                      <w:szCs w:val="21"/>
                      <w:lang w:val="en-US" w:eastAsia="zh-CN"/>
                    </w:rPr>
                    <w:t>≤</w:t>
                  </w:r>
                  <w:r>
                    <w:rPr>
                      <w:rFonts w:hint="default" w:ascii="Times New Roman" w:hAnsi="Times New Roman" w:eastAsia="宋体" w:cs="Times New Roman"/>
                      <w:b w:val="0"/>
                      <w:bCs w:val="0"/>
                      <w:sz w:val="21"/>
                      <w:szCs w:val="21"/>
                    </w:rPr>
                    <w:t>12℃时的控制指标</w:t>
                  </w:r>
                  <w:r>
                    <w:rPr>
                      <w:rFonts w:hint="default" w:ascii="Times New Roman" w:hAnsi="Times New Roman" w:eastAsia="宋体" w:cs="Times New Roman"/>
                      <w:b w:val="0"/>
                      <w:bCs w:val="0"/>
                      <w:sz w:val="21"/>
                      <w:szCs w:val="21"/>
                      <w:lang w:eastAsia="zh-CN"/>
                    </w:rPr>
                    <w:t>。</w:t>
                  </w:r>
                </w:p>
              </w:tc>
            </w:tr>
          </w:tbl>
          <w:p>
            <w:pPr>
              <w:pStyle w:val="8"/>
              <w:spacing w:line="360" w:lineRule="auto"/>
              <w:ind w:firstLine="0" w:firstLineChars="0"/>
              <w:rPr>
                <w:rFonts w:hint="eastAsia"/>
                <w:b/>
                <w:bCs/>
                <w:sz w:val="24"/>
                <w:szCs w:val="24"/>
                <w:lang w:val="en-US" w:eastAsia="zh-CN"/>
              </w:rPr>
            </w:pPr>
          </w:p>
          <w:p>
            <w:pPr>
              <w:pStyle w:val="8"/>
              <w:spacing w:line="360" w:lineRule="auto"/>
              <w:ind w:firstLine="0" w:firstLineChars="0"/>
              <w:rPr>
                <w:rFonts w:hint="eastAsia" w:eastAsia="宋体"/>
                <w:b/>
                <w:bCs/>
                <w:sz w:val="24"/>
                <w:szCs w:val="24"/>
                <w:lang w:eastAsia="zh-CN"/>
              </w:rPr>
            </w:pPr>
            <w:r>
              <w:rPr>
                <w:rFonts w:hint="eastAsia"/>
                <w:b/>
                <w:bCs/>
                <w:sz w:val="24"/>
                <w:szCs w:val="24"/>
                <w:lang w:val="en-US" w:eastAsia="zh-CN"/>
              </w:rPr>
              <w:t>2</w:t>
            </w:r>
            <w:r>
              <w:rPr>
                <w:b/>
                <w:bCs/>
                <w:sz w:val="24"/>
                <w:szCs w:val="24"/>
              </w:rPr>
              <w:t>、</w:t>
            </w:r>
            <w:r>
              <w:rPr>
                <w:rFonts w:hint="eastAsia"/>
                <w:b/>
                <w:bCs/>
                <w:sz w:val="24"/>
                <w:szCs w:val="24"/>
              </w:rPr>
              <w:t>废</w:t>
            </w:r>
            <w:r>
              <w:rPr>
                <w:rFonts w:hint="eastAsia"/>
                <w:b/>
                <w:bCs/>
                <w:sz w:val="24"/>
                <w:szCs w:val="24"/>
                <w:lang w:val="en-US" w:eastAsia="zh-CN"/>
              </w:rPr>
              <w:t>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sz w:val="24"/>
                <w:lang w:eastAsia="zh-CN"/>
              </w:rPr>
            </w:pPr>
            <w:r>
              <w:rPr>
                <w:rFonts w:hint="eastAsia"/>
                <w:sz w:val="24"/>
                <w:lang w:eastAsia="zh-CN"/>
              </w:rPr>
              <w:t>本</w:t>
            </w:r>
            <w:r>
              <w:rPr>
                <w:rFonts w:hint="eastAsia"/>
                <w:sz w:val="24"/>
              </w:rPr>
              <w:t>项目产生废气主要为抛光粉尘、焊接烟尘、破碎粉尘、焊接有机废气、密封废气、老化废气及注塑废气</w:t>
            </w:r>
            <w:r>
              <w:rPr>
                <w:rFonts w:hint="eastAsia"/>
                <w:sz w:val="24"/>
                <w:lang w:eastAsia="zh-CN"/>
              </w:rPr>
              <w:t>。</w:t>
            </w:r>
            <w:r>
              <w:rPr>
                <w:rFonts w:hint="eastAsia" w:ascii="Times New Roman" w:hAnsi="Times New Roman" w:eastAsia="宋体" w:cs="Times New Roman"/>
                <w:b w:val="0"/>
                <w:bCs w:val="0"/>
                <w:sz w:val="24"/>
                <w:lang w:eastAsia="zh-CN"/>
              </w:rPr>
              <w:t>有组织废气</w:t>
            </w:r>
            <w:r>
              <w:rPr>
                <w:rFonts w:hint="default" w:ascii="Times New Roman" w:hAnsi="Times New Roman" w:eastAsia="宋体" w:cs="Times New Roman"/>
                <w:b w:val="0"/>
                <w:bCs w:val="0"/>
                <w:sz w:val="24"/>
              </w:rPr>
              <w:t>执行</w:t>
            </w:r>
            <w:r>
              <w:rPr>
                <w:rFonts w:hint="eastAsia"/>
                <w:sz w:val="24"/>
              </w:rPr>
              <w:t>《合成树脂工业污染物排放标准》</w:t>
            </w:r>
            <w:r>
              <w:rPr>
                <w:rFonts w:hint="eastAsia"/>
                <w:sz w:val="24"/>
                <w:lang w:eastAsia="zh-CN"/>
              </w:rPr>
              <w:t>（</w:t>
            </w:r>
            <w:r>
              <w:rPr>
                <w:sz w:val="24"/>
              </w:rPr>
              <w:t>GB31572-2015</w:t>
            </w:r>
            <w:r>
              <w:rPr>
                <w:rFonts w:hint="eastAsia"/>
                <w:sz w:val="24"/>
                <w:lang w:eastAsia="zh-CN"/>
              </w:rPr>
              <w:t>）</w:t>
            </w:r>
            <w:r>
              <w:rPr>
                <w:rFonts w:hint="eastAsia"/>
                <w:sz w:val="24"/>
              </w:rPr>
              <w:t>表</w:t>
            </w:r>
            <w:r>
              <w:rPr>
                <w:sz w:val="24"/>
              </w:rPr>
              <w:t>5</w:t>
            </w:r>
            <w:r>
              <w:rPr>
                <w:rFonts w:hint="eastAsia"/>
                <w:sz w:val="24"/>
                <w:lang w:eastAsia="zh-CN"/>
              </w:rPr>
              <w:t>“大气污染物特别</w:t>
            </w:r>
            <w:r>
              <w:rPr>
                <w:rFonts w:hint="eastAsia"/>
                <w:sz w:val="24"/>
              </w:rPr>
              <w:t>排放限值</w:t>
            </w:r>
            <w:r>
              <w:rPr>
                <w:rFonts w:hint="eastAsia"/>
                <w:sz w:val="24"/>
                <w:lang w:eastAsia="zh-CN"/>
              </w:rPr>
              <w:t>”要求</w:t>
            </w:r>
            <w:r>
              <w:rPr>
                <w:rFonts w:hint="default" w:ascii="Times New Roman" w:hAnsi="Times New Roman" w:eastAsia="宋体" w:cs="Times New Roman"/>
                <w:kern w:val="2"/>
                <w:sz w:val="24"/>
                <w:szCs w:val="24"/>
                <w:vertAlign w:val="baseline"/>
                <w:lang w:eastAsia="zh-CN"/>
              </w:rPr>
              <w:t>，</w:t>
            </w:r>
            <w:r>
              <w:rPr>
                <w:rFonts w:hint="eastAsia"/>
                <w:sz w:val="24"/>
                <w:lang w:eastAsia="zh-CN"/>
              </w:rPr>
              <w:t>其中锡及其化合物执行</w:t>
            </w:r>
            <w:r>
              <w:rPr>
                <w:rFonts w:hint="default" w:ascii="Times New Roman" w:hAnsi="Times New Roman" w:eastAsia="宋体" w:cs="Times New Roman"/>
                <w:b w:val="0"/>
                <w:bCs w:val="0"/>
                <w:sz w:val="24"/>
              </w:rPr>
              <w:t>《大气污染物综合排放标准》(GB</w:t>
            </w:r>
            <w:r>
              <w:rPr>
                <w:rFonts w:hint="default" w:ascii="Times New Roman" w:hAnsi="Times New Roman" w:eastAsia="宋体" w:cs="Times New Roman"/>
                <w:b w:val="0"/>
                <w:bCs w:val="0"/>
                <w:sz w:val="24"/>
                <w:lang w:val="en-US" w:eastAsia="zh-CN"/>
              </w:rPr>
              <w:t xml:space="preserve"> </w:t>
            </w:r>
            <w:r>
              <w:rPr>
                <w:rFonts w:hint="default" w:ascii="Times New Roman" w:hAnsi="Times New Roman" w:eastAsia="宋体" w:cs="Times New Roman"/>
                <w:b w:val="0"/>
                <w:bCs w:val="0"/>
                <w:sz w:val="24"/>
              </w:rPr>
              <w:t>16297- 1996)</w:t>
            </w:r>
            <w:r>
              <w:rPr>
                <w:rFonts w:hint="default" w:ascii="Times New Roman" w:hAnsi="Times New Roman" w:eastAsia="宋体" w:cs="Times New Roman"/>
                <w:b w:val="0"/>
                <w:bCs w:val="0"/>
                <w:sz w:val="24"/>
                <w:lang w:val="en-US" w:eastAsia="zh-CN"/>
              </w:rPr>
              <w:t>中</w:t>
            </w:r>
            <w:r>
              <w:rPr>
                <w:rFonts w:hint="default" w:ascii="Times New Roman" w:hAnsi="Times New Roman" w:eastAsia="宋体" w:cs="Times New Roman"/>
                <w:b w:val="0"/>
                <w:bCs w:val="0"/>
                <w:sz w:val="24"/>
              </w:rPr>
              <w:t>“新污染物排放限值二级”</w:t>
            </w:r>
            <w:r>
              <w:rPr>
                <w:rFonts w:hint="default" w:ascii="Times New Roman" w:hAnsi="Times New Roman" w:eastAsia="宋体" w:cs="Times New Roman"/>
                <w:b w:val="0"/>
                <w:bCs w:val="0"/>
                <w:sz w:val="24"/>
                <w:lang w:val="en-US" w:eastAsia="zh-CN"/>
              </w:rPr>
              <w:t>标准限值</w:t>
            </w:r>
            <w:r>
              <w:rPr>
                <w:rFonts w:hint="eastAsia" w:ascii="Times New Roman" w:hAnsi="Times New Roman" w:eastAsia="宋体" w:cs="Times New Roman"/>
                <w:b w:val="0"/>
                <w:bCs w:val="0"/>
                <w:sz w:val="24"/>
                <w:lang w:eastAsia="zh-CN"/>
              </w:rPr>
              <w:t>要求</w:t>
            </w:r>
            <w:r>
              <w:rPr>
                <w:rFonts w:hint="eastAsia"/>
                <w:sz w:val="24"/>
              </w:rPr>
              <w:t>；</w:t>
            </w:r>
            <w:r>
              <w:rPr>
                <w:rFonts w:hint="default" w:ascii="Times New Roman" w:hAnsi="Times New Roman" w:eastAsia="宋体" w:cs="Times New Roman"/>
                <w:kern w:val="0"/>
                <w:sz w:val="24"/>
                <w:lang w:eastAsia="zh-CN"/>
              </w:rPr>
              <w:t>厂界</w:t>
            </w:r>
            <w:r>
              <w:rPr>
                <w:rFonts w:hint="default" w:ascii="Times New Roman" w:hAnsi="Times New Roman" w:eastAsia="宋体" w:cs="Times New Roman"/>
                <w:kern w:val="0"/>
                <w:sz w:val="24"/>
                <w:lang w:val="en-US" w:eastAsia="zh-CN"/>
              </w:rPr>
              <w:t>无组织废气</w:t>
            </w:r>
            <w:r>
              <w:rPr>
                <w:rFonts w:hint="default" w:ascii="Times New Roman" w:hAnsi="Times New Roman" w:eastAsia="宋体" w:cs="Times New Roman"/>
                <w:sz w:val="24"/>
                <w:lang w:val="en-US" w:eastAsia="zh-CN"/>
              </w:rPr>
              <w:t>执行</w:t>
            </w:r>
            <w:r>
              <w:rPr>
                <w:rFonts w:hint="eastAsia"/>
                <w:sz w:val="24"/>
              </w:rPr>
              <w:t>《合成树脂工业污染物排放标准》</w:t>
            </w:r>
            <w:r>
              <w:rPr>
                <w:rFonts w:hint="eastAsia"/>
                <w:sz w:val="24"/>
                <w:lang w:eastAsia="zh-CN"/>
              </w:rPr>
              <w:t>（</w:t>
            </w:r>
            <w:r>
              <w:rPr>
                <w:sz w:val="24"/>
              </w:rPr>
              <w:t>GB31572-2015</w:t>
            </w:r>
            <w:r>
              <w:rPr>
                <w:rFonts w:hint="eastAsia"/>
                <w:sz w:val="24"/>
                <w:lang w:eastAsia="zh-CN"/>
              </w:rPr>
              <w:t>）</w:t>
            </w:r>
            <w:r>
              <w:rPr>
                <w:rFonts w:hint="eastAsia"/>
                <w:sz w:val="24"/>
              </w:rPr>
              <w:t>表</w:t>
            </w:r>
            <w:r>
              <w:rPr>
                <w:rFonts w:hint="eastAsia"/>
                <w:sz w:val="24"/>
                <w:lang w:val="en-US" w:eastAsia="zh-CN"/>
              </w:rPr>
              <w:t>9</w:t>
            </w:r>
            <w:r>
              <w:rPr>
                <w:rFonts w:hint="eastAsia"/>
                <w:sz w:val="24"/>
                <w:lang w:eastAsia="zh-CN"/>
              </w:rPr>
              <w:t>“企业边界大气污染物浓度限值”要求</w:t>
            </w:r>
            <w:r>
              <w:rPr>
                <w:rFonts w:hint="eastAsia" w:ascii="Times New Roman" w:hAnsi="Times New Roman" w:eastAsia="宋体" w:cs="Times New Roman"/>
                <w:kern w:val="0"/>
                <w:sz w:val="24"/>
                <w:szCs w:val="22"/>
                <w:vertAlign w:val="baseline"/>
                <w:lang w:val="en-US" w:eastAsia="zh-CN"/>
              </w:rPr>
              <w:t>，</w:t>
            </w:r>
            <w:r>
              <w:rPr>
                <w:rFonts w:hint="eastAsia"/>
                <w:sz w:val="24"/>
                <w:lang w:eastAsia="zh-CN"/>
              </w:rPr>
              <w:t>其中锡及其化合物执行</w:t>
            </w:r>
            <w:r>
              <w:rPr>
                <w:rFonts w:hint="default" w:ascii="Times New Roman" w:hAnsi="Times New Roman" w:eastAsia="宋体" w:cs="Times New Roman"/>
                <w:b w:val="0"/>
                <w:bCs w:val="0"/>
                <w:sz w:val="24"/>
              </w:rPr>
              <w:t>《大气污染物综合排放标准》(GB</w:t>
            </w:r>
            <w:r>
              <w:rPr>
                <w:rFonts w:hint="default" w:ascii="Times New Roman" w:hAnsi="Times New Roman" w:eastAsia="宋体" w:cs="Times New Roman"/>
                <w:b w:val="0"/>
                <w:bCs w:val="0"/>
                <w:sz w:val="24"/>
                <w:lang w:val="en-US" w:eastAsia="zh-CN"/>
              </w:rPr>
              <w:t xml:space="preserve"> </w:t>
            </w:r>
            <w:r>
              <w:rPr>
                <w:rFonts w:hint="default" w:ascii="Times New Roman" w:hAnsi="Times New Roman" w:eastAsia="宋体" w:cs="Times New Roman"/>
                <w:b w:val="0"/>
                <w:bCs w:val="0"/>
                <w:sz w:val="24"/>
              </w:rPr>
              <w:t>16297- 1996)</w:t>
            </w:r>
            <w:r>
              <w:rPr>
                <w:rFonts w:hint="default" w:ascii="Times New Roman" w:hAnsi="Times New Roman" w:eastAsia="宋体" w:cs="Times New Roman"/>
                <w:b w:val="0"/>
                <w:bCs w:val="0"/>
                <w:sz w:val="24"/>
                <w:lang w:val="en-US" w:eastAsia="zh-CN"/>
              </w:rPr>
              <w:t>中</w:t>
            </w:r>
            <w:r>
              <w:rPr>
                <w:rFonts w:hint="default" w:ascii="Times New Roman" w:hAnsi="Times New Roman" w:eastAsia="宋体" w:cs="Times New Roman"/>
                <w:b w:val="0"/>
                <w:bCs w:val="0"/>
                <w:sz w:val="24"/>
              </w:rPr>
              <w:t>“新污染物排放限值”</w:t>
            </w:r>
            <w:r>
              <w:rPr>
                <w:rFonts w:hint="eastAsia" w:ascii="Times New Roman" w:hAnsi="Times New Roman" w:eastAsia="宋体" w:cs="Times New Roman"/>
                <w:b w:val="0"/>
                <w:bCs w:val="0"/>
                <w:sz w:val="24"/>
                <w:lang w:eastAsia="zh-CN"/>
              </w:rPr>
              <w:t>无组织</w:t>
            </w:r>
            <w:r>
              <w:rPr>
                <w:rFonts w:hint="default" w:ascii="Times New Roman" w:hAnsi="Times New Roman" w:eastAsia="宋体" w:cs="Times New Roman"/>
                <w:b w:val="0"/>
                <w:bCs w:val="0"/>
                <w:sz w:val="24"/>
                <w:lang w:val="en-US" w:eastAsia="zh-CN"/>
              </w:rPr>
              <w:t>标准限值</w:t>
            </w:r>
            <w:r>
              <w:rPr>
                <w:rFonts w:hint="eastAsia" w:ascii="Times New Roman" w:hAnsi="Times New Roman" w:eastAsia="宋体" w:cs="Times New Roman"/>
                <w:kern w:val="2"/>
                <w:sz w:val="24"/>
                <w:szCs w:val="24"/>
                <w:vertAlign w:val="baseline"/>
                <w:lang w:eastAsia="zh-CN"/>
              </w:rPr>
              <w:t>；</w:t>
            </w:r>
            <w:r>
              <w:rPr>
                <w:rFonts w:hint="default" w:ascii="Times New Roman" w:hAnsi="Times New Roman" w:eastAsia="宋体" w:cs="Times New Roman"/>
                <w:color w:val="000000"/>
                <w:kern w:val="0"/>
                <w:sz w:val="24"/>
                <w:szCs w:val="24"/>
                <w:lang w:val="en-US" w:eastAsia="zh-CN" w:bidi="ar"/>
              </w:rPr>
              <w:t>厂区内非甲烷总烃执行</w:t>
            </w:r>
            <w:r>
              <w:rPr>
                <w:rFonts w:hint="eastAsia"/>
                <w:sz w:val="24"/>
              </w:rPr>
              <w:t>《挥发性有机物无组织排放控制标准》</w:t>
            </w:r>
            <w:r>
              <w:rPr>
                <w:rFonts w:hint="eastAsia"/>
                <w:sz w:val="24"/>
                <w:lang w:eastAsia="zh-CN"/>
              </w:rPr>
              <w:t>（</w:t>
            </w:r>
            <w:r>
              <w:rPr>
                <w:sz w:val="24"/>
              </w:rPr>
              <w:t>GB37822-2019</w:t>
            </w:r>
            <w:r>
              <w:rPr>
                <w:rFonts w:hint="eastAsia"/>
                <w:sz w:val="24"/>
                <w:lang w:eastAsia="zh-CN"/>
              </w:rPr>
              <w:t>）</w:t>
            </w:r>
            <w:r>
              <w:rPr>
                <w:rFonts w:hint="eastAsia" w:ascii="Times New Roman" w:hAnsi="Times New Roman" w:eastAsia="宋体" w:cs="Times New Roman"/>
                <w:color w:val="000000"/>
                <w:kern w:val="0"/>
                <w:sz w:val="24"/>
                <w:szCs w:val="24"/>
                <w:lang w:val="en-US" w:eastAsia="zh-CN" w:bidi="ar"/>
              </w:rPr>
              <w:t>中附录A表A.1“厂区内VOCs无组织排放限值”中特别排放限值</w:t>
            </w:r>
            <w:r>
              <w:rPr>
                <w:rFonts w:hint="eastAsia"/>
                <w:sz w:val="24"/>
              </w:rPr>
              <w:t>。具体见表</w:t>
            </w:r>
            <w:r>
              <w:rPr>
                <w:rFonts w:hint="eastAsia"/>
                <w:sz w:val="24"/>
                <w:lang w:val="en-US" w:eastAsia="zh-CN"/>
              </w:rPr>
              <w:t>1</w:t>
            </w:r>
            <w:r>
              <w:rPr>
                <w:rFonts w:hint="eastAsia"/>
                <w:sz w:val="24"/>
              </w:rPr>
              <w:t>-</w:t>
            </w:r>
            <w:r>
              <w:rPr>
                <w:rFonts w:hint="eastAsia"/>
                <w:sz w:val="24"/>
                <w:lang w:val="en-US" w:eastAsia="zh-CN"/>
              </w:rPr>
              <w:t>2</w:t>
            </w:r>
            <w:r>
              <w:rPr>
                <w:rFonts w:hint="eastAsia"/>
                <w:sz w:val="24"/>
              </w:rPr>
              <w:t>。</w:t>
            </w:r>
          </w:p>
          <w:p>
            <w:pPr>
              <w:keepNext w:val="0"/>
              <w:keepLines w:val="0"/>
              <w:pageBreakBefore w:val="0"/>
              <w:kinsoku/>
              <w:wordWrap/>
              <w:overflowPunct/>
              <w:topLinePunct w:val="0"/>
              <w:autoSpaceDE/>
              <w:autoSpaceDN/>
              <w:bidi w:val="0"/>
              <w:adjustRightInd/>
              <w:snapToGrid/>
              <w:spacing w:line="288" w:lineRule="auto"/>
              <w:ind w:firstLine="422" w:firstLineChars="200"/>
              <w:jc w:val="center"/>
              <w:textAlignment w:val="auto"/>
              <w:rPr>
                <w:rFonts w:hint="default" w:eastAsia="宋体"/>
                <w:sz w:val="24"/>
                <w:szCs w:val="24"/>
                <w:lang w:val="en-US" w:eastAsia="zh-CN"/>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 xml:space="preserve"> </w:t>
            </w:r>
            <w:r>
              <w:rPr>
                <w:rFonts w:hint="eastAsia" w:ascii="Times New Roman" w:hAnsi="Times New Roman" w:eastAsia="宋体" w:cs="Times New Roman"/>
                <w:b/>
                <w:bCs/>
                <w:color w:val="auto"/>
                <w:sz w:val="21"/>
                <w:szCs w:val="21"/>
                <w:lang w:eastAsia="zh-CN"/>
              </w:rPr>
              <w:t>废气</w:t>
            </w:r>
            <w:r>
              <w:rPr>
                <w:rFonts w:hint="default" w:ascii="Times New Roman" w:hAnsi="Times New Roman" w:eastAsia="宋体" w:cs="Times New Roman"/>
                <w:b/>
                <w:bCs/>
                <w:color w:val="auto"/>
                <w:sz w:val="21"/>
                <w:szCs w:val="21"/>
              </w:rPr>
              <w:t>中污染物排放限值</w:t>
            </w:r>
          </w:p>
          <w:tbl>
            <w:tblPr>
              <w:tblStyle w:val="32"/>
              <w:tblW w:w="498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54"/>
              <w:gridCol w:w="1195"/>
              <w:gridCol w:w="1269"/>
              <w:gridCol w:w="1267"/>
              <w:gridCol w:w="1268"/>
              <w:gridCol w:w="113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03" w:type="pct"/>
                  <w:vMerge w:val="restart"/>
                  <w:noWrap w:val="0"/>
                  <w:vAlign w:val="center"/>
                </w:tcPr>
                <w:p>
                  <w:pPr>
                    <w:adjustRightInd w:val="0"/>
                    <w:snapToGrid w:val="0"/>
                    <w:jc w:val="center"/>
                    <w:rPr>
                      <w:b w:val="0"/>
                      <w:bCs w:val="0"/>
                      <w:szCs w:val="21"/>
                    </w:rPr>
                  </w:pPr>
                  <w:r>
                    <w:rPr>
                      <w:rFonts w:hAnsi="宋体"/>
                      <w:b w:val="0"/>
                      <w:bCs w:val="0"/>
                      <w:szCs w:val="21"/>
                    </w:rPr>
                    <w:t>污染物</w:t>
                  </w:r>
                </w:p>
              </w:tc>
              <w:tc>
                <w:tcPr>
                  <w:tcW w:w="797" w:type="pct"/>
                  <w:vMerge w:val="restart"/>
                  <w:noWrap w:val="0"/>
                  <w:vAlign w:val="center"/>
                </w:tcPr>
                <w:p>
                  <w:pPr>
                    <w:adjustRightInd w:val="0"/>
                    <w:snapToGrid w:val="0"/>
                    <w:jc w:val="center"/>
                    <w:rPr>
                      <w:b w:val="0"/>
                      <w:bCs w:val="0"/>
                      <w:szCs w:val="21"/>
                    </w:rPr>
                  </w:pPr>
                  <w:r>
                    <w:rPr>
                      <w:rFonts w:hAnsi="宋体"/>
                      <w:b w:val="0"/>
                      <w:bCs w:val="0"/>
                      <w:szCs w:val="21"/>
                    </w:rPr>
                    <w:t>最高允许排放浓度（</w:t>
                  </w:r>
                  <w:r>
                    <w:rPr>
                      <w:b w:val="0"/>
                      <w:bCs w:val="0"/>
                      <w:szCs w:val="21"/>
                    </w:rPr>
                    <w:t>mg/m</w:t>
                  </w:r>
                  <w:r>
                    <w:rPr>
                      <w:b w:val="0"/>
                      <w:bCs w:val="0"/>
                      <w:szCs w:val="21"/>
                      <w:vertAlign w:val="superscript"/>
                    </w:rPr>
                    <w:t>3</w:t>
                  </w:r>
                  <w:r>
                    <w:rPr>
                      <w:rFonts w:hAnsi="宋体"/>
                      <w:b w:val="0"/>
                      <w:bCs w:val="0"/>
                      <w:szCs w:val="21"/>
                    </w:rPr>
                    <w:t>）</w:t>
                  </w:r>
                </w:p>
              </w:tc>
              <w:tc>
                <w:tcPr>
                  <w:tcW w:w="847" w:type="pct"/>
                  <w:vMerge w:val="restart"/>
                  <w:noWrap w:val="0"/>
                  <w:vAlign w:val="center"/>
                </w:tcPr>
                <w:p>
                  <w:pPr>
                    <w:adjustRightInd w:val="0"/>
                    <w:snapToGrid w:val="0"/>
                    <w:jc w:val="center"/>
                    <w:rPr>
                      <w:rFonts w:hAnsi="宋体"/>
                      <w:b w:val="0"/>
                      <w:bCs w:val="0"/>
                      <w:szCs w:val="21"/>
                    </w:rPr>
                  </w:pPr>
                  <w:r>
                    <w:rPr>
                      <w:rFonts w:hAnsi="宋体"/>
                      <w:b w:val="0"/>
                      <w:bCs w:val="0"/>
                      <w:szCs w:val="21"/>
                    </w:rPr>
                    <w:t>最高允许排放</w:t>
                  </w:r>
                  <w:r>
                    <w:rPr>
                      <w:rFonts w:hint="eastAsia" w:hAnsi="宋体"/>
                      <w:b w:val="0"/>
                      <w:bCs w:val="0"/>
                      <w:szCs w:val="21"/>
                      <w:lang w:eastAsia="zh-CN"/>
                    </w:rPr>
                    <w:t>速率</w:t>
                  </w:r>
                  <w:r>
                    <w:rPr>
                      <w:rFonts w:hAnsi="宋体"/>
                      <w:b w:val="0"/>
                      <w:bCs w:val="0"/>
                      <w:szCs w:val="21"/>
                    </w:rPr>
                    <w:t>（</w:t>
                  </w:r>
                  <w:r>
                    <w:rPr>
                      <w:rFonts w:hint="eastAsia"/>
                      <w:b w:val="0"/>
                      <w:bCs w:val="0"/>
                      <w:szCs w:val="21"/>
                      <w:lang w:val="en-US" w:eastAsia="zh-CN"/>
                    </w:rPr>
                    <w:t>kg</w:t>
                  </w:r>
                  <w:r>
                    <w:rPr>
                      <w:b w:val="0"/>
                      <w:bCs w:val="0"/>
                      <w:szCs w:val="21"/>
                    </w:rPr>
                    <w:t>/</w:t>
                  </w:r>
                  <w:r>
                    <w:rPr>
                      <w:rFonts w:hint="eastAsia"/>
                      <w:b w:val="0"/>
                      <w:bCs w:val="0"/>
                      <w:szCs w:val="21"/>
                      <w:lang w:val="en-US" w:eastAsia="zh-CN"/>
                    </w:rPr>
                    <w:t>h</w:t>
                  </w:r>
                  <w:r>
                    <w:rPr>
                      <w:rFonts w:hAnsi="宋体"/>
                      <w:b w:val="0"/>
                      <w:bCs w:val="0"/>
                      <w:szCs w:val="21"/>
                    </w:rPr>
                    <w:t>）</w:t>
                  </w:r>
                </w:p>
              </w:tc>
              <w:tc>
                <w:tcPr>
                  <w:tcW w:w="1692" w:type="pct"/>
                  <w:gridSpan w:val="2"/>
                  <w:noWrap w:val="0"/>
                  <w:vAlign w:val="center"/>
                </w:tcPr>
                <w:p>
                  <w:pPr>
                    <w:adjustRightInd w:val="0"/>
                    <w:snapToGrid w:val="0"/>
                    <w:jc w:val="center"/>
                    <w:rPr>
                      <w:b w:val="0"/>
                      <w:bCs w:val="0"/>
                      <w:szCs w:val="21"/>
                    </w:rPr>
                  </w:pPr>
                  <w:r>
                    <w:rPr>
                      <w:rFonts w:hAnsi="宋体"/>
                      <w:b w:val="0"/>
                      <w:bCs w:val="0"/>
                      <w:szCs w:val="21"/>
                    </w:rPr>
                    <w:t>无组织排放监控浓度限值</w:t>
                  </w:r>
                </w:p>
              </w:tc>
              <w:tc>
                <w:tcPr>
                  <w:tcW w:w="759" w:type="pct"/>
                  <w:vMerge w:val="restart"/>
                  <w:noWrap w:val="0"/>
                  <w:vAlign w:val="center"/>
                </w:tcPr>
                <w:p>
                  <w:pPr>
                    <w:adjustRightInd w:val="0"/>
                    <w:snapToGrid w:val="0"/>
                    <w:jc w:val="center"/>
                    <w:rPr>
                      <w:rFonts w:hAnsi="宋体"/>
                      <w:b w:val="0"/>
                      <w:bCs w:val="0"/>
                      <w:szCs w:val="21"/>
                    </w:rPr>
                  </w:pPr>
                  <w:r>
                    <w:rPr>
                      <w:rFonts w:hint="eastAsia" w:hAnsi="宋体"/>
                      <w:b w:val="0"/>
                      <w:bCs w:val="0"/>
                      <w:szCs w:val="21"/>
                    </w:rPr>
                    <w:t>标准来源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03" w:type="pct"/>
                  <w:vMerge w:val="continue"/>
                  <w:noWrap w:val="0"/>
                  <w:vAlign w:val="center"/>
                </w:tcPr>
                <w:p>
                  <w:pPr>
                    <w:adjustRightInd w:val="0"/>
                    <w:snapToGrid w:val="0"/>
                    <w:jc w:val="center"/>
                    <w:rPr>
                      <w:b w:val="0"/>
                      <w:bCs w:val="0"/>
                      <w:szCs w:val="21"/>
                    </w:rPr>
                  </w:pPr>
                </w:p>
              </w:tc>
              <w:tc>
                <w:tcPr>
                  <w:tcW w:w="797" w:type="pct"/>
                  <w:vMerge w:val="continue"/>
                  <w:noWrap w:val="0"/>
                  <w:vAlign w:val="center"/>
                </w:tcPr>
                <w:p>
                  <w:pPr>
                    <w:adjustRightInd w:val="0"/>
                    <w:snapToGrid w:val="0"/>
                    <w:jc w:val="center"/>
                    <w:rPr>
                      <w:b w:val="0"/>
                      <w:bCs w:val="0"/>
                      <w:szCs w:val="21"/>
                    </w:rPr>
                  </w:pPr>
                </w:p>
              </w:tc>
              <w:tc>
                <w:tcPr>
                  <w:tcW w:w="847" w:type="pct"/>
                  <w:vMerge w:val="continue"/>
                  <w:noWrap w:val="0"/>
                  <w:vAlign w:val="center"/>
                </w:tcPr>
                <w:p>
                  <w:pPr>
                    <w:adjustRightInd w:val="0"/>
                    <w:snapToGrid w:val="0"/>
                    <w:jc w:val="center"/>
                    <w:rPr>
                      <w:b w:val="0"/>
                      <w:bCs w:val="0"/>
                      <w:szCs w:val="21"/>
                    </w:rPr>
                  </w:pPr>
                </w:p>
              </w:tc>
              <w:tc>
                <w:tcPr>
                  <w:tcW w:w="845" w:type="pct"/>
                  <w:noWrap w:val="0"/>
                  <w:vAlign w:val="center"/>
                </w:tcPr>
                <w:p>
                  <w:pPr>
                    <w:adjustRightInd w:val="0"/>
                    <w:snapToGrid w:val="0"/>
                    <w:jc w:val="center"/>
                    <w:rPr>
                      <w:b w:val="0"/>
                      <w:bCs w:val="0"/>
                      <w:szCs w:val="21"/>
                    </w:rPr>
                  </w:pPr>
                  <w:r>
                    <w:rPr>
                      <w:rFonts w:hAnsi="宋体"/>
                      <w:b w:val="0"/>
                      <w:bCs w:val="0"/>
                      <w:szCs w:val="21"/>
                    </w:rPr>
                    <w:t>监控点</w:t>
                  </w:r>
                </w:p>
              </w:tc>
              <w:tc>
                <w:tcPr>
                  <w:tcW w:w="846" w:type="pct"/>
                  <w:noWrap w:val="0"/>
                  <w:vAlign w:val="center"/>
                </w:tcPr>
                <w:p>
                  <w:pPr>
                    <w:adjustRightInd w:val="0"/>
                    <w:snapToGrid w:val="0"/>
                    <w:jc w:val="center"/>
                    <w:rPr>
                      <w:b w:val="0"/>
                      <w:bCs w:val="0"/>
                      <w:szCs w:val="21"/>
                      <w:vertAlign w:val="superscript"/>
                    </w:rPr>
                  </w:pPr>
                  <w:r>
                    <w:rPr>
                      <w:rFonts w:hAnsi="宋体"/>
                      <w:b w:val="0"/>
                      <w:bCs w:val="0"/>
                      <w:szCs w:val="21"/>
                    </w:rPr>
                    <w:t>浓度</w:t>
                  </w:r>
                  <w:r>
                    <w:rPr>
                      <w:rFonts w:hint="eastAsia" w:hAnsi="宋体"/>
                      <w:b w:val="0"/>
                      <w:bCs w:val="0"/>
                      <w:szCs w:val="21"/>
                    </w:rPr>
                    <w:t>（</w:t>
                  </w:r>
                  <w:r>
                    <w:rPr>
                      <w:b w:val="0"/>
                      <w:bCs w:val="0"/>
                      <w:szCs w:val="21"/>
                    </w:rPr>
                    <w:t>mg/m</w:t>
                  </w:r>
                  <w:r>
                    <w:rPr>
                      <w:b w:val="0"/>
                      <w:bCs w:val="0"/>
                      <w:szCs w:val="21"/>
                      <w:vertAlign w:val="superscript"/>
                    </w:rPr>
                    <w:t>3</w:t>
                  </w:r>
                  <w:r>
                    <w:rPr>
                      <w:rFonts w:hAnsi="宋体"/>
                      <w:b w:val="0"/>
                      <w:bCs w:val="0"/>
                      <w:szCs w:val="21"/>
                    </w:rPr>
                    <w:t>）</w:t>
                  </w:r>
                </w:p>
              </w:tc>
              <w:tc>
                <w:tcPr>
                  <w:tcW w:w="759" w:type="pct"/>
                  <w:vMerge w:val="continue"/>
                  <w:noWrap w:val="0"/>
                  <w:vAlign w:val="center"/>
                </w:tcPr>
                <w:p>
                  <w:pPr>
                    <w:adjustRightInd w:val="0"/>
                    <w:snapToGrid w:val="0"/>
                    <w:jc w:val="center"/>
                    <w:rPr>
                      <w:rFonts w:hAnsi="宋体"/>
                      <w:b w:val="0"/>
                      <w:bCs w:val="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03" w:type="pct"/>
                  <w:noWrap w:val="0"/>
                  <w:vAlign w:val="center"/>
                </w:tcPr>
                <w:p>
                  <w:pPr>
                    <w:jc w:val="center"/>
                    <w:rPr>
                      <w:b w:val="0"/>
                      <w:bCs w:val="0"/>
                      <w:szCs w:val="21"/>
                    </w:rPr>
                  </w:pPr>
                  <w:r>
                    <w:rPr>
                      <w:rFonts w:hint="eastAsia"/>
                      <w:b w:val="0"/>
                      <w:bCs w:val="0"/>
                      <w:szCs w:val="21"/>
                    </w:rPr>
                    <w:t>锡及其化合物</w:t>
                  </w:r>
                </w:p>
              </w:tc>
              <w:tc>
                <w:tcPr>
                  <w:tcW w:w="797" w:type="pct"/>
                  <w:noWrap w:val="0"/>
                  <w:vAlign w:val="center"/>
                </w:tcPr>
                <w:p>
                  <w:pPr>
                    <w:jc w:val="center"/>
                    <w:rPr>
                      <w:b w:val="0"/>
                      <w:bCs w:val="0"/>
                      <w:szCs w:val="21"/>
                    </w:rPr>
                  </w:pPr>
                  <w:r>
                    <w:rPr>
                      <w:b w:val="0"/>
                      <w:bCs w:val="0"/>
                      <w:szCs w:val="21"/>
                    </w:rPr>
                    <w:t>8.5</w:t>
                  </w:r>
                </w:p>
              </w:tc>
              <w:tc>
                <w:tcPr>
                  <w:tcW w:w="847" w:type="pct"/>
                  <w:noWrap w:val="0"/>
                  <w:vAlign w:val="center"/>
                </w:tcPr>
                <w:p>
                  <w:pPr>
                    <w:jc w:val="center"/>
                    <w:rPr>
                      <w:rFonts w:hint="default" w:eastAsia="宋体"/>
                      <w:b w:val="0"/>
                      <w:bCs w:val="0"/>
                      <w:szCs w:val="21"/>
                      <w:lang w:val="en-US" w:eastAsia="zh-CN"/>
                    </w:rPr>
                  </w:pPr>
                  <w:r>
                    <w:rPr>
                      <w:rFonts w:hint="eastAsia"/>
                      <w:b w:val="0"/>
                      <w:bCs w:val="0"/>
                      <w:szCs w:val="21"/>
                      <w:lang w:val="en-US" w:eastAsia="zh-CN"/>
                    </w:rPr>
                    <w:t>0.52（20m）</w:t>
                  </w:r>
                </w:p>
              </w:tc>
              <w:tc>
                <w:tcPr>
                  <w:tcW w:w="845" w:type="pct"/>
                  <w:noWrap w:val="0"/>
                  <w:vAlign w:val="center"/>
                </w:tcPr>
                <w:p>
                  <w:pPr>
                    <w:adjustRightInd w:val="0"/>
                    <w:snapToGrid w:val="0"/>
                    <w:jc w:val="center"/>
                    <w:rPr>
                      <w:rFonts w:hAnsi="宋体"/>
                      <w:b w:val="0"/>
                      <w:bCs w:val="0"/>
                      <w:szCs w:val="21"/>
                    </w:rPr>
                  </w:pPr>
                  <w:r>
                    <w:rPr>
                      <w:rFonts w:hAnsi="宋体"/>
                      <w:b w:val="0"/>
                      <w:bCs w:val="0"/>
                      <w:szCs w:val="21"/>
                    </w:rPr>
                    <w:t>周界外浓度最高点</w:t>
                  </w:r>
                </w:p>
              </w:tc>
              <w:tc>
                <w:tcPr>
                  <w:tcW w:w="846" w:type="pct"/>
                  <w:noWrap w:val="0"/>
                  <w:vAlign w:val="center"/>
                </w:tcPr>
                <w:p>
                  <w:pPr>
                    <w:adjustRightInd w:val="0"/>
                    <w:snapToGrid w:val="0"/>
                    <w:jc w:val="center"/>
                    <w:rPr>
                      <w:rFonts w:hint="eastAsia"/>
                      <w:b w:val="0"/>
                      <w:bCs w:val="0"/>
                      <w:szCs w:val="21"/>
                    </w:rPr>
                  </w:pPr>
                  <w:r>
                    <w:rPr>
                      <w:rFonts w:hint="eastAsia"/>
                      <w:b w:val="0"/>
                      <w:bCs w:val="0"/>
                      <w:szCs w:val="21"/>
                    </w:rPr>
                    <w:t>0.24</w:t>
                  </w:r>
                </w:p>
              </w:tc>
              <w:tc>
                <w:tcPr>
                  <w:tcW w:w="759" w:type="pct"/>
                  <w:noWrap w:val="0"/>
                  <w:vAlign w:val="center"/>
                </w:tcPr>
                <w:p>
                  <w:pPr>
                    <w:jc w:val="center"/>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GB16297-1996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03" w:type="pct"/>
                  <w:noWrap w:val="0"/>
                  <w:vAlign w:val="center"/>
                </w:tcPr>
                <w:p>
                  <w:pPr>
                    <w:jc w:val="center"/>
                    <w:rPr>
                      <w:rFonts w:hint="eastAsia"/>
                      <w:b w:val="0"/>
                      <w:bCs w:val="0"/>
                      <w:szCs w:val="21"/>
                    </w:rPr>
                  </w:pPr>
                  <w:r>
                    <w:rPr>
                      <w:rFonts w:hint="eastAsia"/>
                      <w:b w:val="0"/>
                      <w:bCs w:val="0"/>
                    </w:rPr>
                    <w:t>非甲烷总烃</w:t>
                  </w:r>
                </w:p>
              </w:tc>
              <w:tc>
                <w:tcPr>
                  <w:tcW w:w="797" w:type="pct"/>
                  <w:noWrap w:val="0"/>
                  <w:vAlign w:val="center"/>
                </w:tcPr>
                <w:p>
                  <w:pPr>
                    <w:jc w:val="center"/>
                    <w:rPr>
                      <w:b w:val="0"/>
                      <w:bCs w:val="0"/>
                      <w:szCs w:val="21"/>
                    </w:rPr>
                  </w:pPr>
                  <w:r>
                    <w:rPr>
                      <w:rFonts w:hint="eastAsia"/>
                      <w:b w:val="0"/>
                      <w:bCs w:val="0"/>
                      <w:szCs w:val="21"/>
                    </w:rPr>
                    <w:t>60</w:t>
                  </w:r>
                </w:p>
              </w:tc>
              <w:tc>
                <w:tcPr>
                  <w:tcW w:w="847" w:type="pct"/>
                  <w:noWrap w:val="0"/>
                  <w:vAlign w:val="center"/>
                </w:tcPr>
                <w:p>
                  <w:pPr>
                    <w:jc w:val="center"/>
                    <w:rPr>
                      <w:rFonts w:hint="eastAsia"/>
                      <w:b w:val="0"/>
                      <w:bCs w:val="0"/>
                      <w:szCs w:val="21"/>
                    </w:rPr>
                  </w:pPr>
                  <w:r>
                    <w:rPr>
                      <w:rFonts w:hint="eastAsia"/>
                      <w:b w:val="0"/>
                      <w:bCs w:val="0"/>
                      <w:szCs w:val="21"/>
                      <w:lang w:val="en-US" w:eastAsia="zh-CN"/>
                    </w:rPr>
                    <w:t>/</w:t>
                  </w:r>
                </w:p>
              </w:tc>
              <w:tc>
                <w:tcPr>
                  <w:tcW w:w="845" w:type="pct"/>
                  <w:vMerge w:val="restart"/>
                  <w:tcBorders>
                    <w:top w:val="single" w:color="auto" w:sz="4" w:space="0"/>
                  </w:tcBorders>
                  <w:noWrap w:val="0"/>
                  <w:vAlign w:val="center"/>
                </w:tcPr>
                <w:p>
                  <w:pPr>
                    <w:adjustRightInd w:val="0"/>
                    <w:snapToGrid w:val="0"/>
                    <w:jc w:val="center"/>
                    <w:rPr>
                      <w:rFonts w:hint="eastAsia" w:hAnsi="宋体"/>
                      <w:b w:val="0"/>
                      <w:bCs w:val="0"/>
                      <w:szCs w:val="21"/>
                    </w:rPr>
                  </w:pPr>
                  <w:r>
                    <w:rPr>
                      <w:rFonts w:hAnsi="宋体"/>
                      <w:b w:val="0"/>
                      <w:bCs w:val="0"/>
                      <w:szCs w:val="21"/>
                    </w:rPr>
                    <w:t>周界外浓度最高点</w:t>
                  </w:r>
                </w:p>
              </w:tc>
              <w:tc>
                <w:tcPr>
                  <w:tcW w:w="846" w:type="pct"/>
                  <w:noWrap w:val="0"/>
                  <w:vAlign w:val="center"/>
                </w:tcPr>
                <w:p>
                  <w:pPr>
                    <w:adjustRightInd w:val="0"/>
                    <w:snapToGrid w:val="0"/>
                    <w:jc w:val="center"/>
                    <w:rPr>
                      <w:b w:val="0"/>
                      <w:bCs w:val="0"/>
                      <w:szCs w:val="21"/>
                    </w:rPr>
                  </w:pPr>
                  <w:r>
                    <w:rPr>
                      <w:rFonts w:hint="eastAsia"/>
                      <w:b w:val="0"/>
                      <w:bCs w:val="0"/>
                      <w:szCs w:val="21"/>
                    </w:rPr>
                    <w:t>4.0</w:t>
                  </w:r>
                </w:p>
              </w:tc>
              <w:tc>
                <w:tcPr>
                  <w:tcW w:w="759" w:type="pct"/>
                  <w:vMerge w:val="restart"/>
                  <w:noWrap w:val="0"/>
                  <w:vAlign w:val="center"/>
                </w:tcPr>
                <w:p>
                  <w:pPr>
                    <w:jc w:val="center"/>
                    <w:rPr>
                      <w:rFonts w:hint="eastAsia"/>
                      <w:b w:val="0"/>
                      <w:bCs w:val="0"/>
                      <w:szCs w:val="21"/>
                    </w:rPr>
                  </w:pPr>
                  <w:r>
                    <w:rPr>
                      <w:b w:val="0"/>
                      <w:bCs w:val="0"/>
                      <w:szCs w:val="21"/>
                    </w:rPr>
                    <w:t xml:space="preserve">GB31572-2015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03" w:type="pct"/>
                  <w:noWrap w:val="0"/>
                  <w:vAlign w:val="center"/>
                </w:tcPr>
                <w:p>
                  <w:pPr>
                    <w:jc w:val="center"/>
                    <w:rPr>
                      <w:rFonts w:hint="eastAsia" w:eastAsia="宋体"/>
                      <w:b w:val="0"/>
                      <w:bCs w:val="0"/>
                      <w:lang w:eastAsia="zh-CN"/>
                    </w:rPr>
                  </w:pPr>
                  <w:r>
                    <w:rPr>
                      <w:rFonts w:hint="eastAsia"/>
                      <w:b w:val="0"/>
                      <w:bCs w:val="0"/>
                      <w:lang w:eastAsia="zh-CN"/>
                    </w:rPr>
                    <w:t>颗粒物</w:t>
                  </w:r>
                </w:p>
              </w:tc>
              <w:tc>
                <w:tcPr>
                  <w:tcW w:w="797" w:type="pct"/>
                  <w:noWrap w:val="0"/>
                  <w:vAlign w:val="center"/>
                </w:tcPr>
                <w:p>
                  <w:pPr>
                    <w:jc w:val="center"/>
                    <w:rPr>
                      <w:rFonts w:hint="default" w:eastAsia="宋体"/>
                      <w:b w:val="0"/>
                      <w:bCs w:val="0"/>
                      <w:szCs w:val="21"/>
                      <w:lang w:val="en-US" w:eastAsia="zh-CN"/>
                    </w:rPr>
                  </w:pPr>
                  <w:r>
                    <w:rPr>
                      <w:rFonts w:hint="eastAsia"/>
                      <w:b w:val="0"/>
                      <w:bCs w:val="0"/>
                      <w:szCs w:val="21"/>
                      <w:lang w:val="en-US" w:eastAsia="zh-CN"/>
                    </w:rPr>
                    <w:t>20</w:t>
                  </w:r>
                </w:p>
              </w:tc>
              <w:tc>
                <w:tcPr>
                  <w:tcW w:w="847" w:type="pct"/>
                  <w:noWrap w:val="0"/>
                  <w:vAlign w:val="center"/>
                </w:tcPr>
                <w:p>
                  <w:pPr>
                    <w:jc w:val="center"/>
                    <w:rPr>
                      <w:rFonts w:hint="eastAsia"/>
                      <w:b w:val="0"/>
                      <w:bCs w:val="0"/>
                      <w:szCs w:val="21"/>
                      <w:lang w:val="en-US" w:eastAsia="zh-CN"/>
                    </w:rPr>
                  </w:pPr>
                  <w:r>
                    <w:rPr>
                      <w:rFonts w:hint="eastAsia"/>
                      <w:b w:val="0"/>
                      <w:bCs w:val="0"/>
                      <w:szCs w:val="21"/>
                      <w:lang w:val="en-US" w:eastAsia="zh-CN"/>
                    </w:rPr>
                    <w:t>/</w:t>
                  </w:r>
                </w:p>
              </w:tc>
              <w:tc>
                <w:tcPr>
                  <w:tcW w:w="845" w:type="pct"/>
                  <w:vMerge w:val="continue"/>
                  <w:noWrap w:val="0"/>
                  <w:vAlign w:val="center"/>
                </w:tcPr>
                <w:p>
                  <w:pPr>
                    <w:adjustRightInd w:val="0"/>
                    <w:snapToGrid w:val="0"/>
                    <w:jc w:val="center"/>
                    <w:rPr>
                      <w:rFonts w:hAnsi="宋体"/>
                      <w:b w:val="0"/>
                      <w:bCs w:val="0"/>
                      <w:szCs w:val="21"/>
                    </w:rPr>
                  </w:pPr>
                </w:p>
              </w:tc>
              <w:tc>
                <w:tcPr>
                  <w:tcW w:w="846" w:type="pct"/>
                  <w:noWrap w:val="0"/>
                  <w:vAlign w:val="center"/>
                </w:tcPr>
                <w:p>
                  <w:pPr>
                    <w:adjustRightInd w:val="0"/>
                    <w:snapToGrid w:val="0"/>
                    <w:jc w:val="center"/>
                    <w:rPr>
                      <w:rFonts w:hint="default" w:eastAsia="宋体"/>
                      <w:b w:val="0"/>
                      <w:bCs w:val="0"/>
                      <w:szCs w:val="21"/>
                      <w:lang w:val="en-US" w:eastAsia="zh-CN"/>
                    </w:rPr>
                  </w:pPr>
                  <w:r>
                    <w:rPr>
                      <w:rFonts w:hint="eastAsia"/>
                      <w:b w:val="0"/>
                      <w:bCs w:val="0"/>
                      <w:szCs w:val="21"/>
                      <w:lang w:val="en-US" w:eastAsia="zh-CN"/>
                    </w:rPr>
                    <w:t>1.0</w:t>
                  </w:r>
                </w:p>
              </w:tc>
              <w:tc>
                <w:tcPr>
                  <w:tcW w:w="759" w:type="pct"/>
                  <w:vMerge w:val="continue"/>
                  <w:noWrap w:val="0"/>
                  <w:vAlign w:val="center"/>
                </w:tcPr>
                <w:p>
                  <w:pPr>
                    <w:jc w:val="center"/>
                    <w:rPr>
                      <w:b w:val="0"/>
                      <w:bCs w:val="0"/>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03" w:type="pct"/>
                  <w:noWrap w:val="0"/>
                  <w:vAlign w:val="center"/>
                </w:tcPr>
                <w:p>
                  <w:pPr>
                    <w:widowControl/>
                    <w:jc w:val="center"/>
                    <w:rPr>
                      <w:rFonts w:hint="eastAsia"/>
                      <w:b w:val="0"/>
                      <w:bCs w:val="0"/>
                    </w:rPr>
                  </w:pPr>
                  <w:r>
                    <w:rPr>
                      <w:rFonts w:hint="eastAsia"/>
                      <w:b w:val="0"/>
                      <w:bCs w:val="0"/>
                    </w:rPr>
                    <w:t>非甲烷总烃</w:t>
                  </w:r>
                </w:p>
              </w:tc>
              <w:tc>
                <w:tcPr>
                  <w:tcW w:w="797" w:type="pct"/>
                  <w:noWrap w:val="0"/>
                  <w:vAlign w:val="center"/>
                </w:tcPr>
                <w:p>
                  <w:pPr>
                    <w:jc w:val="center"/>
                    <w:rPr>
                      <w:rFonts w:hint="eastAsia" w:eastAsia="宋体"/>
                      <w:b w:val="0"/>
                      <w:bCs w:val="0"/>
                      <w:szCs w:val="21"/>
                      <w:lang w:val="en-US" w:eastAsia="zh-CN"/>
                    </w:rPr>
                  </w:pPr>
                  <w:r>
                    <w:rPr>
                      <w:rFonts w:hint="eastAsia"/>
                      <w:b w:val="0"/>
                      <w:bCs w:val="0"/>
                      <w:szCs w:val="21"/>
                      <w:lang w:val="en-US" w:eastAsia="zh-CN"/>
                    </w:rPr>
                    <w:t>/</w:t>
                  </w:r>
                </w:p>
              </w:tc>
              <w:tc>
                <w:tcPr>
                  <w:tcW w:w="847" w:type="pct"/>
                  <w:noWrap w:val="0"/>
                  <w:vAlign w:val="center"/>
                </w:tcPr>
                <w:p>
                  <w:pPr>
                    <w:jc w:val="center"/>
                    <w:rPr>
                      <w:rFonts w:hint="eastAsia"/>
                      <w:b w:val="0"/>
                      <w:bCs w:val="0"/>
                      <w:szCs w:val="21"/>
                      <w:lang w:val="en-US" w:eastAsia="zh-CN"/>
                    </w:rPr>
                  </w:pPr>
                  <w:r>
                    <w:rPr>
                      <w:rFonts w:hint="eastAsia"/>
                      <w:b w:val="0"/>
                      <w:bCs w:val="0"/>
                      <w:szCs w:val="21"/>
                      <w:lang w:val="en-US" w:eastAsia="zh-CN"/>
                    </w:rPr>
                    <w:t>/</w:t>
                  </w:r>
                </w:p>
              </w:tc>
              <w:tc>
                <w:tcPr>
                  <w:tcW w:w="845" w:type="pct"/>
                  <w:tcBorders>
                    <w:top w:val="single" w:color="auto" w:sz="4" w:space="0"/>
                  </w:tcBorders>
                  <w:noWrap w:val="0"/>
                  <w:vAlign w:val="center"/>
                </w:tcPr>
                <w:p>
                  <w:pPr>
                    <w:adjustRightInd w:val="0"/>
                    <w:snapToGrid w:val="0"/>
                    <w:jc w:val="center"/>
                    <w:rPr>
                      <w:rFonts w:hint="eastAsia" w:hAnsi="宋体"/>
                      <w:b w:val="0"/>
                      <w:bCs w:val="0"/>
                      <w:szCs w:val="21"/>
                    </w:rPr>
                  </w:pPr>
                  <w:r>
                    <w:rPr>
                      <w:b w:val="0"/>
                      <w:bCs w:val="0"/>
                      <w:szCs w:val="21"/>
                    </w:rPr>
                    <w:t>在厂房外设置监控点</w:t>
                  </w:r>
                </w:p>
              </w:tc>
              <w:tc>
                <w:tcPr>
                  <w:tcW w:w="846" w:type="pct"/>
                  <w:noWrap w:val="0"/>
                  <w:vAlign w:val="center"/>
                </w:tcPr>
                <w:p>
                  <w:pPr>
                    <w:adjustRightInd w:val="0"/>
                    <w:snapToGrid w:val="0"/>
                    <w:jc w:val="center"/>
                    <w:rPr>
                      <w:rFonts w:hint="eastAsia" w:eastAsia="宋体"/>
                      <w:b w:val="0"/>
                      <w:bCs w:val="0"/>
                      <w:szCs w:val="21"/>
                      <w:lang w:eastAsia="zh-CN"/>
                    </w:rPr>
                  </w:pPr>
                  <w:r>
                    <w:rPr>
                      <w:b w:val="0"/>
                      <w:bCs w:val="0"/>
                      <w:szCs w:val="21"/>
                    </w:rPr>
                    <w:t>6</w:t>
                  </w:r>
                  <w:r>
                    <w:rPr>
                      <w:rFonts w:hint="eastAsia"/>
                      <w:b w:val="0"/>
                      <w:bCs w:val="0"/>
                      <w:szCs w:val="21"/>
                      <w:lang w:eastAsia="zh-CN"/>
                    </w:rPr>
                    <w:t>（</w:t>
                  </w:r>
                  <w:r>
                    <w:rPr>
                      <w:b w:val="0"/>
                      <w:bCs w:val="0"/>
                      <w:szCs w:val="21"/>
                    </w:rPr>
                    <w:t>监控点处1小时平均浓度限值</w:t>
                  </w:r>
                  <w:r>
                    <w:rPr>
                      <w:rFonts w:hint="eastAsia"/>
                      <w:b w:val="0"/>
                      <w:bCs w:val="0"/>
                      <w:szCs w:val="21"/>
                      <w:lang w:eastAsia="zh-CN"/>
                    </w:rPr>
                    <w:t>）</w:t>
                  </w:r>
                </w:p>
              </w:tc>
              <w:tc>
                <w:tcPr>
                  <w:tcW w:w="759" w:type="pct"/>
                  <w:noWrap w:val="0"/>
                  <w:vAlign w:val="center"/>
                </w:tcPr>
                <w:p>
                  <w:pPr>
                    <w:jc w:val="center"/>
                    <w:rPr>
                      <w:b w:val="0"/>
                      <w:bCs w:val="0"/>
                      <w:szCs w:val="21"/>
                    </w:rPr>
                  </w:pPr>
                  <w:r>
                    <w:rPr>
                      <w:rFonts w:hint="eastAsia"/>
                      <w:b w:val="0"/>
                      <w:bCs w:val="0"/>
                      <w:szCs w:val="21"/>
                      <w:lang w:val="en-US" w:eastAsia="zh-CN"/>
                    </w:rPr>
                    <w:t>GB37822-2019</w:t>
                  </w:r>
                </w:p>
              </w:tc>
            </w:tr>
          </w:tbl>
          <w:p>
            <w:pPr>
              <w:pStyle w:val="8"/>
              <w:spacing w:line="360" w:lineRule="auto"/>
              <w:ind w:firstLine="0" w:firstLineChars="0"/>
              <w:rPr>
                <w:rFonts w:hint="eastAsia"/>
                <w:b/>
                <w:bCs/>
                <w:sz w:val="24"/>
                <w:szCs w:val="24"/>
              </w:rPr>
            </w:pPr>
          </w:p>
          <w:p>
            <w:pPr>
              <w:pStyle w:val="8"/>
              <w:spacing w:line="360" w:lineRule="auto"/>
              <w:ind w:firstLine="0" w:firstLineChars="0"/>
              <w:rPr>
                <w:b/>
                <w:bCs/>
                <w:sz w:val="24"/>
                <w:szCs w:val="24"/>
              </w:rPr>
            </w:pPr>
            <w:r>
              <w:rPr>
                <w:rFonts w:hint="eastAsia"/>
                <w:b/>
                <w:bCs/>
                <w:sz w:val="24"/>
                <w:szCs w:val="24"/>
              </w:rPr>
              <w:t>3、噪声</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sz w:val="24"/>
                <w:szCs w:val="24"/>
                <w:lang w:val="en-US" w:eastAsia="zh-CN"/>
              </w:rPr>
              <w:t>本项目厂界昼间</w:t>
            </w:r>
            <w:r>
              <w:rPr>
                <w:rFonts w:hint="eastAsia"/>
                <w:sz w:val="24"/>
                <w:szCs w:val="24"/>
              </w:rPr>
              <w:t>噪声执行《工业企业厂界环境噪声排放标准》（GB 12348-2008）中的</w:t>
            </w:r>
            <w:r>
              <w:rPr>
                <w:rFonts w:hint="eastAsia"/>
                <w:sz w:val="24"/>
                <w:szCs w:val="24"/>
                <w:lang w:val="en-US" w:eastAsia="zh-CN"/>
              </w:rPr>
              <w:t>2</w:t>
            </w:r>
            <w:r>
              <w:rPr>
                <w:rFonts w:hint="eastAsia"/>
                <w:sz w:val="24"/>
                <w:szCs w:val="24"/>
              </w:rPr>
              <w:t>类</w:t>
            </w:r>
            <w:r>
              <w:rPr>
                <w:rFonts w:hint="eastAsia"/>
                <w:sz w:val="24"/>
                <w:szCs w:val="24"/>
                <w:lang w:val="en-US" w:eastAsia="zh-CN"/>
              </w:rPr>
              <w:t>区限值，</w:t>
            </w:r>
            <w:r>
              <w:rPr>
                <w:sz w:val="24"/>
                <w:szCs w:val="24"/>
              </w:rPr>
              <w:t>具体标准限值见表</w:t>
            </w:r>
            <w:r>
              <w:rPr>
                <w:rFonts w:hint="eastAsia"/>
                <w:sz w:val="24"/>
                <w:szCs w:val="24"/>
                <w:lang w:val="en-US" w:eastAsia="zh-CN"/>
              </w:rPr>
              <w:t>1-3</w:t>
            </w:r>
            <w:r>
              <w:rPr>
                <w:sz w:val="24"/>
                <w:szCs w:val="24"/>
              </w:rPr>
              <w:t>。</w:t>
            </w:r>
          </w:p>
          <w:p>
            <w:pPr>
              <w:spacing w:line="360" w:lineRule="auto"/>
              <w:jc w:val="center"/>
              <w:rPr>
                <w:rFonts w:hint="default" w:eastAsia="宋体"/>
                <w:sz w:val="21"/>
                <w:szCs w:val="21"/>
                <w:lang w:val="en-US" w:eastAsia="zh-CN"/>
              </w:rPr>
            </w:pPr>
            <w:r>
              <w:rPr>
                <w:b/>
                <w:sz w:val="21"/>
                <w:szCs w:val="21"/>
              </w:rPr>
              <w:t>表</w:t>
            </w:r>
            <w:r>
              <w:rPr>
                <w:rFonts w:hint="eastAsia"/>
                <w:b/>
                <w:sz w:val="21"/>
                <w:szCs w:val="21"/>
              </w:rPr>
              <w:t>1-</w:t>
            </w:r>
            <w:r>
              <w:rPr>
                <w:rFonts w:hint="eastAsia"/>
                <w:b/>
                <w:sz w:val="21"/>
                <w:szCs w:val="21"/>
                <w:lang w:val="en-US" w:eastAsia="zh-CN"/>
              </w:rPr>
              <w:t>3</w:t>
            </w:r>
            <w:r>
              <w:rPr>
                <w:b/>
                <w:sz w:val="21"/>
                <w:szCs w:val="21"/>
              </w:rPr>
              <w:t>《工业企业厂界环境噪声排放标准》（GB 12348-2008）</w:t>
            </w:r>
            <w:r>
              <w:rPr>
                <w:rFonts w:hint="eastAsia"/>
                <w:b/>
                <w:sz w:val="21"/>
                <w:szCs w:val="21"/>
                <w:lang w:val="en-US" w:eastAsia="zh-CN"/>
              </w:rPr>
              <w:t xml:space="preserve"> 单位：</w:t>
            </w:r>
            <w:r>
              <w:rPr>
                <w:b/>
                <w:bCs/>
                <w:sz w:val="21"/>
                <w:szCs w:val="21"/>
              </w:rPr>
              <w:t>dB</w:t>
            </w:r>
            <w:r>
              <w:rPr>
                <w:rFonts w:hint="eastAsia"/>
                <w:b/>
                <w:bCs/>
                <w:sz w:val="21"/>
                <w:szCs w:val="21"/>
              </w:rPr>
              <w:t>（A）</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3"/>
              <w:gridCol w:w="2507"/>
              <w:gridCol w:w="2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5" w:type="pct"/>
                  <w:tcMar>
                    <w:top w:w="28" w:type="dxa"/>
                    <w:left w:w="28" w:type="dxa"/>
                    <w:bottom w:w="28" w:type="dxa"/>
                    <w:right w:w="28" w:type="dxa"/>
                  </w:tcMar>
                  <w:vAlign w:val="center"/>
                </w:tcPr>
                <w:p>
                  <w:pPr>
                    <w:jc w:val="center"/>
                    <w:rPr>
                      <w:sz w:val="21"/>
                      <w:szCs w:val="21"/>
                    </w:rPr>
                  </w:pPr>
                  <w:r>
                    <w:rPr>
                      <w:sz w:val="21"/>
                      <w:szCs w:val="21"/>
                    </w:rPr>
                    <w:t>类别</w:t>
                  </w:r>
                </w:p>
              </w:tc>
              <w:tc>
                <w:tcPr>
                  <w:tcW w:w="1667" w:type="pct"/>
                  <w:tcMar>
                    <w:top w:w="28" w:type="dxa"/>
                    <w:left w:w="28" w:type="dxa"/>
                    <w:bottom w:w="28" w:type="dxa"/>
                    <w:right w:w="28" w:type="dxa"/>
                  </w:tcMar>
                  <w:vAlign w:val="center"/>
                </w:tcPr>
                <w:p>
                  <w:pPr>
                    <w:jc w:val="center"/>
                    <w:rPr>
                      <w:sz w:val="21"/>
                      <w:szCs w:val="21"/>
                    </w:rPr>
                  </w:pPr>
                  <w:r>
                    <w:rPr>
                      <w:sz w:val="21"/>
                      <w:szCs w:val="21"/>
                    </w:rPr>
                    <w:t>昼间</w:t>
                  </w:r>
                </w:p>
              </w:tc>
              <w:tc>
                <w:tcPr>
                  <w:tcW w:w="1667" w:type="pct"/>
                  <w:tcMar>
                    <w:top w:w="28" w:type="dxa"/>
                    <w:left w:w="28" w:type="dxa"/>
                    <w:bottom w:w="28" w:type="dxa"/>
                    <w:right w:w="28" w:type="dxa"/>
                  </w:tcMar>
                  <w:vAlign w:val="center"/>
                </w:tcPr>
                <w:p>
                  <w:pPr>
                    <w:jc w:val="center"/>
                    <w:rPr>
                      <w:rFonts w:hint="eastAsia" w:eastAsia="宋体"/>
                      <w:sz w:val="21"/>
                      <w:szCs w:val="21"/>
                      <w:lang w:eastAsia="zh-CN"/>
                    </w:rPr>
                  </w:pPr>
                  <w:r>
                    <w:rPr>
                      <w:rFonts w:hint="eastAsia"/>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5" w:type="pct"/>
                  <w:tcMar>
                    <w:top w:w="28" w:type="dxa"/>
                    <w:left w:w="28" w:type="dxa"/>
                    <w:bottom w:w="28" w:type="dxa"/>
                    <w:right w:w="28" w:type="dxa"/>
                  </w:tcMar>
                  <w:vAlign w:val="center"/>
                </w:tcPr>
                <w:p>
                  <w:pPr>
                    <w:jc w:val="center"/>
                    <w:rPr>
                      <w:rFonts w:hint="default" w:eastAsia="宋体"/>
                      <w:sz w:val="21"/>
                      <w:szCs w:val="21"/>
                      <w:lang w:val="en-US" w:eastAsia="zh-CN"/>
                    </w:rPr>
                  </w:pPr>
                  <w:r>
                    <w:rPr>
                      <w:rFonts w:hint="eastAsia"/>
                      <w:sz w:val="21"/>
                      <w:szCs w:val="21"/>
                      <w:lang w:val="en-US" w:eastAsia="zh-CN"/>
                    </w:rPr>
                    <w:t>2</w:t>
                  </w:r>
                </w:p>
              </w:tc>
              <w:tc>
                <w:tcPr>
                  <w:tcW w:w="1667" w:type="pct"/>
                  <w:tcMar>
                    <w:top w:w="28" w:type="dxa"/>
                    <w:left w:w="28" w:type="dxa"/>
                    <w:bottom w:w="28" w:type="dxa"/>
                    <w:right w:w="28" w:type="dxa"/>
                  </w:tcMar>
                  <w:vAlign w:val="center"/>
                </w:tcPr>
                <w:p>
                  <w:pPr>
                    <w:jc w:val="center"/>
                    <w:rPr>
                      <w:rFonts w:hint="default" w:eastAsia="宋体"/>
                      <w:sz w:val="21"/>
                      <w:szCs w:val="21"/>
                      <w:lang w:val="en-US" w:eastAsia="zh-CN"/>
                    </w:rPr>
                  </w:pPr>
                  <w:r>
                    <w:rPr>
                      <w:rFonts w:hint="eastAsia"/>
                      <w:sz w:val="21"/>
                      <w:szCs w:val="21"/>
                      <w:lang w:val="en-US" w:eastAsia="zh-CN"/>
                    </w:rPr>
                    <w:t>60</w:t>
                  </w:r>
                </w:p>
              </w:tc>
              <w:tc>
                <w:tcPr>
                  <w:tcW w:w="1667" w:type="pct"/>
                  <w:tcMar>
                    <w:top w:w="28" w:type="dxa"/>
                    <w:left w:w="28" w:type="dxa"/>
                    <w:bottom w:w="28" w:type="dxa"/>
                    <w:right w:w="28" w:type="dxa"/>
                  </w:tcMar>
                  <w:vAlign w:val="center"/>
                </w:tcPr>
                <w:p>
                  <w:pPr>
                    <w:jc w:val="center"/>
                    <w:rPr>
                      <w:rFonts w:hint="default"/>
                      <w:sz w:val="21"/>
                      <w:szCs w:val="21"/>
                      <w:lang w:val="en-US" w:eastAsia="zh-CN"/>
                    </w:rPr>
                  </w:pPr>
                  <w:r>
                    <w:rPr>
                      <w:rFonts w:hint="eastAsia"/>
                      <w:sz w:val="21"/>
                      <w:szCs w:val="21"/>
                      <w:lang w:val="en-US" w:eastAsia="zh-CN"/>
                    </w:rPr>
                    <w:t>50</w:t>
                  </w:r>
                </w:p>
              </w:tc>
            </w:tr>
          </w:tbl>
          <w:p>
            <w:pPr>
              <w:pStyle w:val="8"/>
              <w:spacing w:line="360" w:lineRule="auto"/>
              <w:ind w:firstLine="0" w:firstLineChars="0"/>
              <w:rPr>
                <w:rFonts w:hint="eastAsia"/>
                <w:b/>
                <w:bCs/>
                <w:sz w:val="24"/>
                <w:szCs w:val="24"/>
              </w:rPr>
            </w:pPr>
          </w:p>
          <w:p>
            <w:pPr>
              <w:pStyle w:val="8"/>
              <w:spacing w:line="360" w:lineRule="auto"/>
              <w:ind w:firstLine="0" w:firstLineChars="0"/>
              <w:rPr>
                <w:b/>
                <w:bCs/>
                <w:sz w:val="24"/>
                <w:szCs w:val="24"/>
              </w:rPr>
            </w:pPr>
            <w:r>
              <w:rPr>
                <w:rFonts w:hint="eastAsia"/>
                <w:b/>
                <w:bCs/>
                <w:sz w:val="24"/>
                <w:szCs w:val="24"/>
              </w:rPr>
              <w:t>4、固体废物</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固体废物属性判断依据《国家危险废物名录》（2021版）、《固体废物鉴别标准</w:t>
            </w:r>
            <w:r>
              <w:rPr>
                <w:rFonts w:hint="eastAsia" w:cs="Times New Roman"/>
                <w:sz w:val="24"/>
                <w:szCs w:val="24"/>
                <w:lang w:val="en-US" w:eastAsia="zh-CN"/>
              </w:rPr>
              <w:t xml:space="preserve"> </w:t>
            </w:r>
            <w:r>
              <w:rPr>
                <w:rFonts w:hint="default" w:ascii="Times New Roman" w:hAnsi="Times New Roman" w:eastAsia="宋体" w:cs="Times New Roman"/>
                <w:sz w:val="24"/>
                <w:szCs w:val="24"/>
              </w:rPr>
              <w:t>通则》</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GB 34330-2017</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。危险固废执行《危险废物贮存污染控制标准》</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GB 18597-</w:t>
            </w:r>
            <w:r>
              <w:rPr>
                <w:rFonts w:hint="eastAsia" w:cs="Times New Roman"/>
                <w:sz w:val="24"/>
                <w:szCs w:val="24"/>
                <w:lang w:val="en-US" w:eastAsia="zh-CN"/>
              </w:rPr>
              <w:t>2023</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，其他固体废弃物执行《一般工业固体废物贮存</w:t>
            </w:r>
            <w:r>
              <w:rPr>
                <w:rFonts w:hint="eastAsia" w:cs="Times New Roman"/>
                <w:sz w:val="24"/>
                <w:szCs w:val="24"/>
                <w:lang w:eastAsia="zh-CN"/>
              </w:rPr>
              <w:t>和填埋</w:t>
            </w:r>
            <w:r>
              <w:rPr>
                <w:rFonts w:hint="default" w:ascii="Times New Roman" w:hAnsi="Times New Roman" w:eastAsia="宋体" w:cs="Times New Roman"/>
                <w:sz w:val="24"/>
                <w:szCs w:val="24"/>
              </w:rPr>
              <w:t>场污染控制标准》（GB 18599-</w:t>
            </w:r>
            <w:r>
              <w:rPr>
                <w:rFonts w:hint="eastAsia" w:cs="Times New Roman"/>
                <w:sz w:val="24"/>
                <w:szCs w:val="24"/>
                <w:lang w:val="en-US" w:eastAsia="zh-CN"/>
              </w:rPr>
              <w:t>2020</w:t>
            </w:r>
            <w:r>
              <w:rPr>
                <w:rFonts w:hint="default" w:ascii="Times New Roman" w:hAnsi="Times New Roman" w:eastAsia="宋体" w:cs="Times New Roman"/>
                <w:sz w:val="24"/>
                <w:szCs w:val="24"/>
              </w:rPr>
              <w:t>）和《中华人民共和国固体废物污染环境防治法（修订）》（2020年9月1日实施）有关规定</w:t>
            </w:r>
            <w:r>
              <w:rPr>
                <w:rFonts w:hint="default" w:ascii="Times New Roman" w:hAnsi="Times New Roman" w:eastAsia="宋体" w:cs="Times New Roman"/>
                <w:color w:val="000000"/>
                <w:sz w:val="24"/>
                <w:lang w:val="en-US" w:eastAsia="zh-CN"/>
              </w:rPr>
              <w:t>。</w:t>
            </w:r>
          </w:p>
          <w:p>
            <w:pPr>
              <w:pStyle w:val="8"/>
              <w:keepNext w:val="0"/>
              <w:keepLines w:val="0"/>
              <w:pageBreakBefore w:val="0"/>
              <w:kinsoku/>
              <w:wordWrap/>
              <w:overflowPunct/>
              <w:topLinePunct w:val="0"/>
              <w:autoSpaceDE/>
              <w:autoSpaceDN/>
              <w:bidi w:val="0"/>
              <w:adjustRightInd/>
              <w:snapToGrid/>
              <w:spacing w:line="360" w:lineRule="auto"/>
              <w:ind w:firstLine="0" w:firstLineChars="0"/>
              <w:textAlignment w:val="auto"/>
              <w:rPr>
                <w:rFonts w:hint="eastAsia"/>
                <w:b/>
                <w:bCs/>
                <w:sz w:val="24"/>
                <w:szCs w:val="24"/>
              </w:rPr>
            </w:pPr>
          </w:p>
          <w:p>
            <w:pPr>
              <w:pStyle w:val="8"/>
              <w:keepNext w:val="0"/>
              <w:keepLines w:val="0"/>
              <w:pageBreakBefore w:val="0"/>
              <w:kinsoku/>
              <w:wordWrap/>
              <w:overflowPunct/>
              <w:topLinePunct w:val="0"/>
              <w:autoSpaceDE/>
              <w:autoSpaceDN/>
              <w:bidi w:val="0"/>
              <w:adjustRightInd/>
              <w:snapToGrid/>
              <w:spacing w:line="360" w:lineRule="auto"/>
              <w:ind w:firstLine="0" w:firstLineChars="0"/>
              <w:textAlignment w:val="auto"/>
              <w:rPr>
                <w:b/>
                <w:bCs/>
                <w:sz w:val="24"/>
                <w:szCs w:val="24"/>
              </w:rPr>
            </w:pPr>
            <w:r>
              <w:rPr>
                <w:rFonts w:hint="eastAsia"/>
                <w:b/>
                <w:bCs/>
                <w:sz w:val="24"/>
                <w:szCs w:val="24"/>
              </w:rPr>
              <w:t>5、总量控制</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kern w:val="2"/>
                <w:sz w:val="24"/>
                <w:szCs w:val="22"/>
                <w:lang w:val="en-US" w:eastAsia="zh-CN" w:bidi="ar-SA"/>
              </w:rPr>
            </w:pPr>
            <w:r>
              <w:rPr>
                <w:rFonts w:hint="default" w:ascii="Times New Roman" w:hAnsi="Times New Roman" w:eastAsia="宋体" w:cs="Times New Roman"/>
                <w:color w:val="000000"/>
                <w:kern w:val="2"/>
                <w:sz w:val="24"/>
                <w:szCs w:val="22"/>
                <w:lang w:val="en-US" w:eastAsia="zh-CN" w:bidi="ar-SA"/>
              </w:rPr>
              <w:t>环评文件中污染物总量控制预测值</w:t>
            </w:r>
            <w:r>
              <w:rPr>
                <w:rFonts w:hint="eastAsia" w:cs="Times New Roman"/>
                <w:color w:val="000000"/>
                <w:kern w:val="2"/>
                <w:sz w:val="24"/>
                <w:szCs w:val="22"/>
                <w:lang w:val="en-US" w:eastAsia="zh-CN" w:bidi="ar-SA"/>
              </w:rPr>
              <w:t>：COD</w:t>
            </w:r>
            <w:r>
              <w:rPr>
                <w:rFonts w:hint="eastAsia" w:cs="Times New Roman"/>
                <w:color w:val="000000"/>
                <w:kern w:val="2"/>
                <w:sz w:val="24"/>
                <w:szCs w:val="22"/>
                <w:vertAlign w:val="subscript"/>
                <w:lang w:val="en-US" w:eastAsia="zh-CN" w:bidi="ar-SA"/>
              </w:rPr>
              <w:t>cr</w:t>
            </w:r>
            <w:r>
              <w:rPr>
                <w:rFonts w:hint="eastAsia" w:cs="Times New Roman"/>
                <w:color w:val="000000"/>
                <w:kern w:val="2"/>
                <w:sz w:val="24"/>
                <w:szCs w:val="22"/>
                <w:lang w:val="en-US" w:eastAsia="zh-CN" w:bidi="ar-SA"/>
              </w:rPr>
              <w:t>0.032t/a、NH</w:t>
            </w:r>
            <w:r>
              <w:rPr>
                <w:rFonts w:hint="eastAsia" w:cs="Times New Roman"/>
                <w:color w:val="000000"/>
                <w:kern w:val="2"/>
                <w:sz w:val="24"/>
                <w:szCs w:val="22"/>
                <w:vertAlign w:val="subscript"/>
                <w:lang w:val="en-US" w:eastAsia="zh-CN" w:bidi="ar-SA"/>
              </w:rPr>
              <w:t>3</w:t>
            </w:r>
            <w:r>
              <w:rPr>
                <w:rFonts w:hint="eastAsia" w:cs="Times New Roman"/>
                <w:color w:val="000000"/>
                <w:kern w:val="2"/>
                <w:sz w:val="24"/>
                <w:szCs w:val="22"/>
                <w:lang w:val="en-US" w:eastAsia="zh-CN" w:bidi="ar-SA"/>
              </w:rPr>
              <w:t>-N0.003t/a、烟粉尘0.018t/a、VOCs0.011t/a。</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sz w:val="24"/>
                <w:szCs w:val="24"/>
              </w:rPr>
            </w:pPr>
            <w:r>
              <w:rPr>
                <w:rFonts w:hint="eastAsia" w:cs="Times New Roman"/>
                <w:color w:val="000000"/>
                <w:kern w:val="2"/>
                <w:sz w:val="24"/>
                <w:szCs w:val="22"/>
                <w:lang w:val="en-US" w:eastAsia="zh-CN" w:bidi="ar-SA"/>
              </w:rPr>
              <w:t>环评批复中</w:t>
            </w:r>
            <w:r>
              <w:rPr>
                <w:rFonts w:hint="default" w:ascii="Times New Roman" w:hAnsi="Times New Roman" w:eastAsia="宋体" w:cs="Times New Roman"/>
                <w:color w:val="000000"/>
                <w:kern w:val="2"/>
                <w:sz w:val="24"/>
                <w:szCs w:val="22"/>
                <w:lang w:val="en-US" w:eastAsia="zh-CN" w:bidi="ar-SA"/>
              </w:rPr>
              <w:t>污染物总量控制</w:t>
            </w:r>
            <w:r>
              <w:rPr>
                <w:rFonts w:hint="eastAsia" w:ascii="Times New Roman" w:hAnsi="Times New Roman" w:eastAsia="宋体" w:cs="Times New Roman"/>
                <w:color w:val="000000"/>
                <w:kern w:val="2"/>
                <w:sz w:val="24"/>
                <w:szCs w:val="22"/>
                <w:lang w:val="en-US" w:eastAsia="zh-CN" w:bidi="ar-SA"/>
              </w:rPr>
              <w:t>要求：</w:t>
            </w:r>
            <w:r>
              <w:rPr>
                <w:rFonts w:hint="eastAsia" w:cs="Times New Roman"/>
                <w:color w:val="000000"/>
                <w:kern w:val="2"/>
                <w:sz w:val="24"/>
                <w:szCs w:val="22"/>
                <w:lang w:val="en-US" w:eastAsia="zh-CN" w:bidi="ar-SA"/>
              </w:rPr>
              <w:t>烟粉尘0.018t/a、VOCs0.011t/a</w:t>
            </w:r>
            <w:r>
              <w:rPr>
                <w:rFonts w:hint="eastAsia" w:ascii="Times New Roman" w:hAnsi="Times New Roman" w:eastAsia="宋体" w:cs="Times New Roman"/>
                <w:color w:val="000000"/>
                <w:kern w:val="2"/>
                <w:sz w:val="24"/>
                <w:szCs w:val="22"/>
                <w:lang w:val="en-US" w:eastAsia="zh-CN" w:bidi="ar-SA"/>
              </w:rPr>
              <w:t>。</w:t>
            </w:r>
          </w:p>
        </w:tc>
      </w:tr>
    </w:tbl>
    <w:p>
      <w:pPr>
        <w:sectPr>
          <w:headerReference r:id="rId6" w:type="default"/>
          <w:footerReference r:id="rId7" w:type="default"/>
          <w:pgSz w:w="12240" w:h="15840"/>
          <w:pgMar w:top="1440" w:right="1800" w:bottom="1440" w:left="1800" w:header="850" w:footer="992" w:gutter="0"/>
          <w:pgNumType w:fmt="decimal" w:start="1"/>
          <w:cols w:space="720" w:num="1"/>
          <w:docGrid w:type="lines" w:linePitch="312" w:charSpace="0"/>
        </w:sectPr>
      </w:pPr>
      <w:bookmarkStart w:id="7" w:name="_Toc982"/>
      <w:bookmarkStart w:id="8" w:name="_Toc19729"/>
      <w:bookmarkStart w:id="9" w:name="_Toc15443"/>
    </w:p>
    <w:bookmarkEnd w:id="7"/>
    <w:bookmarkEnd w:id="8"/>
    <w:bookmarkEnd w:id="9"/>
    <w:p>
      <w:pPr>
        <w:pStyle w:val="4"/>
        <w:bidi w:val="0"/>
        <w:rPr>
          <w:rFonts w:hint="eastAsia" w:ascii="宋体" w:hAnsi="宋体" w:eastAsia="宋体" w:cs="宋体"/>
          <w:lang w:eastAsia="zh-CN"/>
        </w:rPr>
      </w:pPr>
      <w:bookmarkStart w:id="10" w:name="_Toc103603940"/>
      <w:bookmarkStart w:id="11" w:name="_Toc11456"/>
      <w:r>
        <w:rPr>
          <w:rFonts w:hint="eastAsia" w:ascii="宋体" w:hAnsi="宋体" w:eastAsia="宋体" w:cs="宋体"/>
        </w:rPr>
        <w:t xml:space="preserve">表二 </w:t>
      </w:r>
      <w:bookmarkEnd w:id="10"/>
      <w:r>
        <w:rPr>
          <w:rFonts w:hint="eastAsia" w:ascii="宋体" w:hAnsi="宋体" w:eastAsia="宋体" w:cs="宋体"/>
          <w:lang w:eastAsia="zh-CN"/>
        </w:rPr>
        <w:t>验收</w:t>
      </w:r>
      <w:r>
        <w:rPr>
          <w:rFonts w:hint="eastAsia" w:ascii="宋体" w:hAnsi="宋体" w:eastAsia="宋体" w:cs="宋体"/>
        </w:rPr>
        <w:t>项目建设内容</w:t>
      </w:r>
      <w:bookmarkEnd w:id="11"/>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55" w:hRule="atLeast"/>
        </w:trPr>
        <w:tc>
          <w:tcPr>
            <w:tcW w:w="5000" w:type="pct"/>
            <w:shd w:val="clear" w:color="auto" w:fill="auto"/>
          </w:tcPr>
          <w:p>
            <w:pPr>
              <w:keepNext w:val="0"/>
              <w:keepLines w:val="0"/>
              <w:pageBreakBefore w:val="0"/>
              <w:numPr>
                <w:ilvl w:val="0"/>
                <w:numId w:val="3"/>
              </w:numPr>
              <w:kinsoku/>
              <w:wordWrap/>
              <w:overflowPunct/>
              <w:topLinePunct w:val="0"/>
              <w:autoSpaceDE/>
              <w:autoSpaceDN/>
              <w:bidi w:val="0"/>
              <w:adjustRightInd/>
              <w:snapToGrid/>
              <w:spacing w:line="360" w:lineRule="auto"/>
              <w:textAlignment w:val="auto"/>
              <w:rPr>
                <w:b/>
                <w:bCs/>
                <w:sz w:val="24"/>
                <w:szCs w:val="24"/>
              </w:rPr>
            </w:pPr>
            <w:r>
              <w:rPr>
                <w:b/>
                <w:bCs/>
                <w:sz w:val="24"/>
                <w:szCs w:val="24"/>
              </w:rPr>
              <w:t>工程建设内容：</w:t>
            </w:r>
          </w:p>
          <w:p>
            <w:pPr>
              <w:pStyle w:val="21"/>
              <w:numPr>
                <w:ilvl w:val="0"/>
                <w:numId w:val="0"/>
              </w:numPr>
              <w:ind w:right="-6" w:rightChars="-3" w:firstLine="480" w:firstLineChars="200"/>
            </w:pPr>
            <w:r>
              <w:rPr>
                <w:rFonts w:hint="eastAsia" w:ascii="Times New Roman" w:eastAsia="宋体" w:cs="Times New Roman"/>
                <w:sz w:val="24"/>
                <w:szCs w:val="24"/>
                <w:lang w:eastAsia="zh-CN"/>
              </w:rPr>
              <w:t>浙江维连风然传感科技有限公司（以下简称“</w:t>
            </w:r>
            <w:r>
              <w:rPr>
                <w:rFonts w:hint="default" w:ascii="Times New Roman" w:hAnsi="Times New Roman" w:eastAsia="宋体" w:cs="Times New Roman"/>
                <w:sz w:val="24"/>
                <w:szCs w:val="24"/>
                <w:lang w:eastAsia="zh-CN"/>
              </w:rPr>
              <w:t>本公司</w:t>
            </w:r>
            <w:r>
              <w:rPr>
                <w:rFonts w:hint="eastAsia" w:ascii="Times New Roman" w:eastAsia="宋体" w:cs="Times New Roman"/>
                <w:sz w:val="24"/>
                <w:szCs w:val="24"/>
                <w:lang w:eastAsia="zh-CN"/>
              </w:rPr>
              <w:t>”）</w:t>
            </w:r>
            <w:r>
              <w:rPr>
                <w:rFonts w:hint="default" w:ascii="Times New Roman" w:hAnsi="Times New Roman" w:eastAsia="宋体" w:cs="Times New Roman"/>
                <w:sz w:val="24"/>
                <w:szCs w:val="24"/>
                <w:lang w:eastAsia="zh-CN"/>
              </w:rPr>
              <w:t>位于</w:t>
            </w:r>
            <w:r>
              <w:rPr>
                <w:rFonts w:hint="eastAsia" w:ascii="Times New Roman" w:eastAsia="宋体" w:cs="Times New Roman"/>
                <w:sz w:val="24"/>
                <w:szCs w:val="24"/>
                <w:lang w:eastAsia="zh-CN"/>
              </w:rPr>
              <w:t>浙江省嘉兴市嘉善县罗星街道科技大道2699号的3号楼</w:t>
            </w:r>
            <w:r>
              <w:rPr>
                <w:rFonts w:hint="default" w:ascii="Times New Roman" w:hAnsi="Times New Roman" w:eastAsia="宋体" w:cs="Times New Roman"/>
                <w:sz w:val="24"/>
                <w:szCs w:val="24"/>
                <w:lang w:eastAsia="zh-CN"/>
              </w:rPr>
              <w:t>，租用嘉善同嘉科技产业发展有限公司的厂房作为生产厂房使用，租用面积为2</w:t>
            </w:r>
            <w:r>
              <w:rPr>
                <w:rFonts w:hint="default" w:ascii="Times New Roman" w:hAnsi="Times New Roman" w:eastAsia="宋体" w:cs="Times New Roman"/>
                <w:sz w:val="24"/>
                <w:szCs w:val="24"/>
                <w:lang w:val="en-US" w:eastAsia="zh-CN"/>
              </w:rPr>
              <w:t>0</w:t>
            </w:r>
            <w:r>
              <w:rPr>
                <w:rFonts w:hint="eastAsia" w:ascii="Times New Roman" w:eastAsia="宋体" w:cs="Times New Roman"/>
                <w:sz w:val="24"/>
                <w:szCs w:val="24"/>
                <w:lang w:val="en-US" w:eastAsia="zh-CN"/>
              </w:rPr>
              <w:t>55.44</w:t>
            </w:r>
            <w:r>
              <w:rPr>
                <w:rFonts w:hint="default" w:ascii="Times New Roman" w:hAnsi="Times New Roman" w:eastAsia="宋体" w:cs="Times New Roman"/>
                <w:sz w:val="24"/>
                <w:szCs w:val="24"/>
                <w:lang w:eastAsia="zh-CN"/>
              </w:rPr>
              <w:t>平方米</w:t>
            </w:r>
            <w:r>
              <w:rPr>
                <w:rFonts w:hint="eastAsia" w:ascii="Times New Roman" w:eastAsia="宋体" w:cs="Times New Roman"/>
                <w:sz w:val="24"/>
                <w:szCs w:val="24"/>
                <w:lang w:eastAsia="zh-CN"/>
              </w:rPr>
              <w:t>，</w:t>
            </w:r>
            <w:r>
              <w:rPr>
                <w:rFonts w:hint="default" w:ascii="Times New Roman" w:hAnsi="Times New Roman" w:eastAsia="宋体" w:cs="Times New Roman"/>
                <w:sz w:val="24"/>
                <w:szCs w:val="24"/>
                <w:lang w:eastAsia="zh-CN"/>
              </w:rPr>
              <w:t>厂区总平面布置功能分区明确，布局合理。项目地理位置见附图 1，项目厂区平面布置图及周边环境</w:t>
            </w:r>
            <w:r>
              <w:rPr>
                <w:rFonts w:hint="eastAsia" w:ascii="Times New Roman" w:hAnsi="Times New Roman" w:eastAsia="宋体" w:cs="Times New Roman"/>
                <w:sz w:val="24"/>
                <w:szCs w:val="24"/>
                <w:lang w:eastAsia="zh-CN"/>
              </w:rPr>
              <w:t>见</w:t>
            </w:r>
            <w:r>
              <w:rPr>
                <w:rFonts w:hint="default" w:ascii="Times New Roman" w:hAnsi="Times New Roman" w:eastAsia="宋体" w:cs="Times New Roman"/>
                <w:sz w:val="24"/>
                <w:szCs w:val="24"/>
                <w:lang w:eastAsia="zh-CN"/>
              </w:rPr>
              <w:t xml:space="preserve">附图 </w:t>
            </w:r>
            <w:r>
              <w:rPr>
                <w:rFonts w:hint="default" w:ascii="Times New Roman" w:hAnsi="Times New Roman" w:eastAsia="宋体" w:cs="Times New Roman"/>
                <w:sz w:val="24"/>
                <w:szCs w:val="24"/>
                <w:lang w:val="en-US" w:eastAsia="zh-CN"/>
              </w:rPr>
              <w:t>2。</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本公司</w:t>
            </w:r>
            <w:r>
              <w:rPr>
                <w:rFonts w:hint="default"/>
                <w:sz w:val="24"/>
                <w:szCs w:val="24"/>
                <w:lang w:val="en-US" w:eastAsia="zh-CN"/>
              </w:rPr>
              <w:t>投资</w:t>
            </w:r>
            <w:r>
              <w:rPr>
                <w:rFonts w:hint="eastAsia"/>
                <w:color w:val="auto"/>
                <w:sz w:val="24"/>
                <w:szCs w:val="24"/>
                <w:lang w:val="en-US" w:eastAsia="zh-CN"/>
              </w:rPr>
              <w:t>2500</w:t>
            </w:r>
            <w:r>
              <w:rPr>
                <w:rFonts w:hint="default"/>
                <w:color w:val="auto"/>
                <w:sz w:val="24"/>
                <w:szCs w:val="24"/>
                <w:lang w:val="en-US" w:eastAsia="zh-CN"/>
              </w:rPr>
              <w:t>万元</w:t>
            </w:r>
            <w:r>
              <w:rPr>
                <w:rFonts w:hint="default"/>
                <w:sz w:val="24"/>
                <w:szCs w:val="24"/>
                <w:lang w:val="en-US" w:eastAsia="zh-CN"/>
              </w:rPr>
              <w:t>建设</w:t>
            </w:r>
            <w:r>
              <w:rPr>
                <w:rFonts w:hint="eastAsia"/>
                <w:sz w:val="24"/>
                <w:szCs w:val="24"/>
                <w:lang w:val="en-US" w:eastAsia="zh-CN"/>
              </w:rPr>
              <w:t>该</w:t>
            </w:r>
            <w:r>
              <w:rPr>
                <w:rFonts w:hint="default"/>
                <w:sz w:val="24"/>
                <w:szCs w:val="24"/>
                <w:lang w:val="en-US" w:eastAsia="zh-CN"/>
              </w:rPr>
              <w:t>项目，</w:t>
            </w:r>
            <w:r>
              <w:rPr>
                <w:rFonts w:hint="eastAsia"/>
                <w:sz w:val="24"/>
                <w:szCs w:val="24"/>
                <w:lang w:val="en-US" w:eastAsia="zh-CN"/>
              </w:rPr>
              <w:t>购置了激光焊接机、注塑机、熔接机、端子机等生产设备</w:t>
            </w:r>
            <w:r>
              <w:rPr>
                <w:rFonts w:hint="default"/>
                <w:sz w:val="24"/>
                <w:szCs w:val="24"/>
                <w:lang w:val="en-US" w:eastAsia="zh-CN"/>
              </w:rPr>
              <w:t>，</w:t>
            </w:r>
            <w:r>
              <w:rPr>
                <w:rFonts w:hint="eastAsia"/>
                <w:sz w:val="24"/>
                <w:szCs w:val="24"/>
                <w:lang w:val="en-US" w:eastAsia="zh-CN"/>
              </w:rPr>
              <w:t>实现年产智能温度传感器200万件的生产规模。</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eastAsia="zh-CN"/>
              </w:rPr>
            </w:pPr>
            <w:r>
              <w:rPr>
                <w:rFonts w:hint="eastAsia"/>
                <w:sz w:val="24"/>
                <w:szCs w:val="24"/>
                <w:lang w:val="en-US" w:eastAsia="zh-CN"/>
              </w:rPr>
              <w:t>2022</w:t>
            </w:r>
            <w:r>
              <w:rPr>
                <w:rFonts w:hint="default"/>
                <w:sz w:val="24"/>
                <w:szCs w:val="24"/>
                <w:lang w:val="en-US" w:eastAsia="zh-CN"/>
              </w:rPr>
              <w:t>年</w:t>
            </w:r>
            <w:r>
              <w:rPr>
                <w:rFonts w:hint="eastAsia"/>
                <w:sz w:val="24"/>
                <w:szCs w:val="24"/>
                <w:lang w:val="en-US" w:eastAsia="zh-CN"/>
              </w:rPr>
              <w:t>09</w:t>
            </w:r>
            <w:r>
              <w:rPr>
                <w:rFonts w:hint="default"/>
                <w:sz w:val="24"/>
                <w:szCs w:val="24"/>
                <w:lang w:val="en-US" w:eastAsia="zh-CN"/>
              </w:rPr>
              <w:t>月，</w:t>
            </w:r>
            <w:r>
              <w:rPr>
                <w:rFonts w:hint="eastAsia"/>
                <w:sz w:val="24"/>
                <w:szCs w:val="24"/>
                <w:lang w:val="en-US" w:eastAsia="zh-CN"/>
              </w:rPr>
              <w:t>本公司委托杭州广岩科技有限公司</w:t>
            </w:r>
            <w:r>
              <w:rPr>
                <w:rFonts w:hint="default"/>
                <w:sz w:val="24"/>
                <w:szCs w:val="24"/>
                <w:lang w:val="en-US" w:eastAsia="zh-CN"/>
              </w:rPr>
              <w:t>编制了《</w:t>
            </w:r>
            <w:r>
              <w:rPr>
                <w:rFonts w:hint="eastAsia"/>
                <w:sz w:val="24"/>
                <w:szCs w:val="24"/>
                <w:lang w:val="en-US" w:eastAsia="zh-CN"/>
              </w:rPr>
              <w:t>浙江维连风然传感科技有限公司新建年产智能温度传感器200万件建设项目</w:t>
            </w:r>
            <w:r>
              <w:rPr>
                <w:rFonts w:hint="default"/>
                <w:sz w:val="24"/>
                <w:szCs w:val="24"/>
                <w:lang w:val="en-US" w:eastAsia="zh-CN"/>
              </w:rPr>
              <w:t>环境影响报告表》，并于</w:t>
            </w:r>
            <w:r>
              <w:rPr>
                <w:rFonts w:hint="eastAsia"/>
                <w:sz w:val="24"/>
                <w:szCs w:val="24"/>
                <w:lang w:val="en-US" w:eastAsia="zh-CN"/>
              </w:rPr>
              <w:t>2022</w:t>
            </w:r>
            <w:r>
              <w:rPr>
                <w:rFonts w:hint="default"/>
                <w:sz w:val="24"/>
                <w:szCs w:val="24"/>
                <w:lang w:val="en-US" w:eastAsia="zh-CN"/>
              </w:rPr>
              <w:t>年</w:t>
            </w:r>
            <w:r>
              <w:rPr>
                <w:rFonts w:hint="eastAsia"/>
                <w:sz w:val="24"/>
                <w:szCs w:val="24"/>
                <w:lang w:val="en-US" w:eastAsia="zh-CN"/>
              </w:rPr>
              <w:t>12</w:t>
            </w:r>
            <w:r>
              <w:rPr>
                <w:rFonts w:hint="default"/>
                <w:sz w:val="24"/>
                <w:szCs w:val="24"/>
                <w:lang w:val="en-US" w:eastAsia="zh-CN"/>
              </w:rPr>
              <w:t>月</w:t>
            </w:r>
            <w:r>
              <w:rPr>
                <w:rFonts w:hint="eastAsia"/>
                <w:sz w:val="24"/>
                <w:szCs w:val="24"/>
                <w:lang w:val="en-US" w:eastAsia="zh-CN"/>
              </w:rPr>
              <w:t>1</w:t>
            </w:r>
            <w:r>
              <w:rPr>
                <w:rFonts w:hint="default"/>
                <w:sz w:val="24"/>
                <w:szCs w:val="24"/>
                <w:lang w:val="en-US" w:eastAsia="zh-CN"/>
              </w:rPr>
              <w:t>日获得了</w:t>
            </w:r>
            <w:r>
              <w:rPr>
                <w:rFonts w:hint="eastAsia"/>
                <w:sz w:val="24"/>
                <w:szCs w:val="24"/>
                <w:lang w:val="en-US" w:eastAsia="zh-CN"/>
              </w:rPr>
              <w:t>嘉兴市生态环境局的审批意见</w:t>
            </w:r>
            <w:r>
              <w:rPr>
                <w:rFonts w:hint="eastAsia"/>
                <w:color w:val="auto"/>
                <w:sz w:val="24"/>
                <w:szCs w:val="24"/>
                <w:lang w:eastAsia="zh-CN"/>
              </w:rPr>
              <w:t>（</w:t>
            </w:r>
            <w:r>
              <w:rPr>
                <w:rFonts w:hint="eastAsia"/>
                <w:color w:val="auto"/>
                <w:sz w:val="24"/>
                <w:szCs w:val="24"/>
                <w:lang w:val="en-US" w:eastAsia="zh-CN"/>
              </w:rPr>
              <w:t>嘉环（善）建[2022]109号</w:t>
            </w:r>
            <w:r>
              <w:rPr>
                <w:rFonts w:hint="default" w:ascii="Times New Roman" w:hAnsi="Times New Roman" w:cs="Times New Roman"/>
                <w:color w:val="auto"/>
                <w:sz w:val="24"/>
                <w:szCs w:val="24"/>
                <w:lang w:eastAsia="zh-CN"/>
              </w:rPr>
              <w:t>）</w:t>
            </w:r>
            <w:r>
              <w:rPr>
                <w:rFonts w:hint="default"/>
                <w:sz w:val="24"/>
                <w:szCs w:val="24"/>
                <w:lang w:val="en-US" w:eastAsia="zh-CN"/>
              </w:rPr>
              <w:t>。</w:t>
            </w:r>
            <w:r>
              <w:rPr>
                <w:sz w:val="24"/>
                <w:szCs w:val="24"/>
              </w:rPr>
              <w:t>该项目</w:t>
            </w:r>
            <w:r>
              <w:rPr>
                <w:rFonts w:hint="eastAsia"/>
                <w:sz w:val="24"/>
                <w:szCs w:val="24"/>
              </w:rPr>
              <w:t>已建成工程及其配套环保设施均试运行正常，具备建设项目竣工环保验收条件。</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sz w:val="24"/>
                <w:szCs w:val="24"/>
                <w:lang w:val="en-US" w:eastAsia="zh-CN"/>
              </w:rPr>
              <w:t>受本公司</w:t>
            </w:r>
            <w:r>
              <w:rPr>
                <w:rFonts w:hint="default"/>
                <w:sz w:val="24"/>
                <w:szCs w:val="24"/>
              </w:rPr>
              <w:t>委托</w:t>
            </w:r>
            <w:r>
              <w:rPr>
                <w:rFonts w:hint="eastAsia"/>
                <w:sz w:val="24"/>
                <w:szCs w:val="24"/>
                <w:lang w:eastAsia="zh-CN"/>
              </w:rPr>
              <w:t>，</w:t>
            </w:r>
            <w:r>
              <w:rPr>
                <w:rFonts w:hint="eastAsia"/>
                <w:sz w:val="24"/>
                <w:szCs w:val="24"/>
                <w:lang w:val="en-US" w:eastAsia="zh-CN"/>
              </w:rPr>
              <w:t>杭州广测环境技术有限公司</w:t>
            </w:r>
            <w:r>
              <w:rPr>
                <w:rFonts w:hint="default"/>
                <w:sz w:val="24"/>
                <w:szCs w:val="24"/>
              </w:rPr>
              <w:t>承担了本次</w:t>
            </w:r>
            <w:r>
              <w:rPr>
                <w:rFonts w:hint="eastAsia"/>
                <w:sz w:val="24"/>
                <w:szCs w:val="24"/>
                <w:lang w:val="en-US" w:eastAsia="zh-CN"/>
              </w:rPr>
              <w:t>新建</w:t>
            </w:r>
            <w:r>
              <w:rPr>
                <w:rFonts w:hint="default"/>
                <w:sz w:val="24"/>
                <w:szCs w:val="24"/>
              </w:rPr>
              <w:t>项目的竣工环境保护验收监测工作，</w:t>
            </w:r>
            <w:r>
              <w:rPr>
                <w:rFonts w:hint="eastAsia"/>
                <w:sz w:val="24"/>
                <w:szCs w:val="24"/>
                <w:lang w:val="en-US" w:eastAsia="zh-CN"/>
              </w:rPr>
              <w:t>验收内容为年产智能温度传感器200万件</w:t>
            </w:r>
            <w:r>
              <w:rPr>
                <w:rFonts w:hint="default"/>
                <w:sz w:val="24"/>
                <w:szCs w:val="24"/>
              </w:rPr>
              <w:t>。本项目</w:t>
            </w:r>
            <w:r>
              <w:rPr>
                <w:rFonts w:hint="eastAsia"/>
                <w:sz w:val="24"/>
                <w:szCs w:val="24"/>
                <w:lang w:val="en-US" w:eastAsia="zh-CN"/>
              </w:rPr>
              <w:t>产品</w:t>
            </w:r>
            <w:r>
              <w:rPr>
                <w:rFonts w:hint="default"/>
                <w:sz w:val="24"/>
                <w:szCs w:val="24"/>
              </w:rPr>
              <w:t>方案见表</w:t>
            </w:r>
            <w:r>
              <w:rPr>
                <w:rFonts w:hint="eastAsia"/>
                <w:sz w:val="24"/>
                <w:szCs w:val="24"/>
                <w:lang w:val="en-US" w:eastAsia="zh-CN"/>
              </w:rPr>
              <w:t>2</w:t>
            </w:r>
            <w:r>
              <w:rPr>
                <w:rFonts w:hint="default"/>
                <w:sz w:val="24"/>
                <w:szCs w:val="24"/>
              </w:rPr>
              <w:t>-1。</w:t>
            </w:r>
          </w:p>
          <w:p>
            <w:pPr>
              <w:pStyle w:val="2"/>
              <w:keepNext w:val="0"/>
              <w:keepLines w:val="0"/>
              <w:pageBreakBefore w:val="0"/>
              <w:kinsoku/>
              <w:wordWrap/>
              <w:overflowPunct/>
              <w:topLinePunct w:val="0"/>
              <w:autoSpaceDE/>
              <w:autoSpaceDN/>
              <w:bidi w:val="0"/>
              <w:adjustRightInd/>
              <w:snapToGrid/>
              <w:spacing w:line="360" w:lineRule="auto"/>
              <w:jc w:val="center"/>
              <w:textAlignment w:val="auto"/>
              <w:rPr>
                <w:rFonts w:hint="eastAsia"/>
                <w:lang w:eastAsia="zh-CN"/>
              </w:rPr>
            </w:pPr>
            <w:r>
              <w:rPr>
                <w:rFonts w:hint="default" w:ascii="Times New Roman" w:hAnsi="Times New Roman" w:cs="Times New Roman"/>
                <w:sz w:val="21"/>
                <w:szCs w:val="21"/>
              </w:rPr>
              <w:t>表</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rPr>
              <w:t xml:space="preserve"> 项目产品方案表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3"/>
              <w:gridCol w:w="1559"/>
              <w:gridCol w:w="1664"/>
              <w:gridCol w:w="1514"/>
              <w:gridCol w:w="1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5" w:type="pct"/>
                  <w:noWrap w:val="0"/>
                  <w:vAlign w:val="center"/>
                </w:tcPr>
                <w:p>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rPr>
                  </w:pPr>
                  <w:r>
                    <w:rPr>
                      <w:rFonts w:hint="default"/>
                    </w:rPr>
                    <w:t>产品名称</w:t>
                  </w:r>
                </w:p>
              </w:tc>
              <w:tc>
                <w:tcPr>
                  <w:tcW w:w="903" w:type="pct"/>
                  <w:noWrap w:val="0"/>
                  <w:vAlign w:val="center"/>
                </w:tcPr>
                <w:p>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rPr>
                  </w:pPr>
                  <w:r>
                    <w:rPr>
                      <w:rFonts w:hint="eastAsia"/>
                      <w:lang w:val="en-US" w:eastAsia="zh-CN"/>
                    </w:rPr>
                    <w:t>单位</w:t>
                  </w:r>
                </w:p>
              </w:tc>
              <w:tc>
                <w:tcPr>
                  <w:tcW w:w="964" w:type="pct"/>
                  <w:noWrap w:val="0"/>
                  <w:vAlign w:val="center"/>
                </w:tcPr>
                <w:p>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lang w:val="en-US" w:eastAsia="zh-CN"/>
                    </w:rPr>
                  </w:pPr>
                  <w:r>
                    <w:rPr>
                      <w:rFonts w:hint="eastAsia"/>
                      <w:lang w:val="en-US" w:eastAsia="zh-CN"/>
                    </w:rPr>
                    <w:t>环评</w:t>
                  </w:r>
                  <w:r>
                    <w:rPr>
                      <w:rFonts w:hint="default"/>
                    </w:rPr>
                    <w:t>产量</w:t>
                  </w:r>
                </w:p>
              </w:tc>
              <w:tc>
                <w:tcPr>
                  <w:tcW w:w="877" w:type="pct"/>
                  <w:noWrap w:val="0"/>
                  <w:vAlign w:val="center"/>
                </w:tcPr>
                <w:p>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eastAsia"/>
                      <w:lang w:val="en-US" w:eastAsia="zh-CN"/>
                    </w:rPr>
                  </w:pPr>
                  <w:r>
                    <w:rPr>
                      <w:rFonts w:hint="eastAsia"/>
                      <w:lang w:val="en-US" w:eastAsia="zh-CN"/>
                    </w:rPr>
                    <w:t>实际产量</w:t>
                  </w:r>
                </w:p>
              </w:tc>
              <w:tc>
                <w:tcPr>
                  <w:tcW w:w="879" w:type="pct"/>
                  <w:noWrap w:val="0"/>
                  <w:vAlign w:val="center"/>
                </w:tcPr>
                <w:p>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eastAsia"/>
                      <w:lang w:val="en-US" w:eastAsia="zh-CN"/>
                    </w:rPr>
                  </w:pPr>
                  <w:r>
                    <w:rPr>
                      <w:rFonts w:hint="eastAsia"/>
                      <w:lang w:val="en-US"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5" w:type="pct"/>
                  <w:noWrap w:val="0"/>
                  <w:vAlign w:val="center"/>
                </w:tcPr>
                <w:p>
                  <w:pPr>
                    <w:pStyle w:val="8"/>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eastAsia"/>
                      <w:lang w:eastAsia="zh-CN"/>
                    </w:rPr>
                  </w:pPr>
                  <w:r>
                    <w:rPr>
                      <w:rFonts w:hint="eastAsia"/>
                      <w:bCs/>
                      <w:color w:val="000000"/>
                      <w:sz w:val="21"/>
                      <w:szCs w:val="21"/>
                      <w:lang w:val="en-US" w:eastAsia="zh-CN"/>
                    </w:rPr>
                    <w:t>智能温度传感器</w:t>
                  </w:r>
                </w:p>
              </w:tc>
              <w:tc>
                <w:tcPr>
                  <w:tcW w:w="903" w:type="pct"/>
                  <w:noWrap w:val="0"/>
                  <w:vAlign w:val="center"/>
                </w:tcPr>
                <w:p>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lang w:val="en-US" w:eastAsia="zh-CN"/>
                    </w:rPr>
                  </w:pPr>
                  <w:r>
                    <w:rPr>
                      <w:rFonts w:hint="eastAsia"/>
                      <w:lang w:val="en-US" w:eastAsia="zh-CN"/>
                    </w:rPr>
                    <w:t>万件</w:t>
                  </w:r>
                  <w:r>
                    <w:rPr>
                      <w:rFonts w:hint="default"/>
                    </w:rPr>
                    <w:t>/年</w:t>
                  </w:r>
                </w:p>
              </w:tc>
              <w:tc>
                <w:tcPr>
                  <w:tcW w:w="964" w:type="pct"/>
                  <w:noWrap w:val="0"/>
                  <w:vAlign w:val="center"/>
                </w:tcPr>
                <w:p>
                  <w:pPr>
                    <w:pStyle w:val="8"/>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eastAsia="宋体"/>
                      <w:lang w:val="en-US" w:eastAsia="zh-CN"/>
                    </w:rPr>
                  </w:pPr>
                  <w:r>
                    <w:rPr>
                      <w:rFonts w:hint="eastAsia"/>
                      <w:color w:val="000000"/>
                      <w:sz w:val="21"/>
                      <w:szCs w:val="21"/>
                      <w:lang w:val="en-US" w:eastAsia="zh-CN"/>
                    </w:rPr>
                    <w:t>200</w:t>
                  </w:r>
                </w:p>
              </w:tc>
              <w:tc>
                <w:tcPr>
                  <w:tcW w:w="877" w:type="pct"/>
                  <w:noWrap w:val="0"/>
                  <w:vAlign w:val="center"/>
                </w:tcPr>
                <w:p>
                  <w:pPr>
                    <w:pStyle w:val="8"/>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eastAsia="宋体"/>
                      <w:lang w:val="en-US" w:eastAsia="zh-CN"/>
                    </w:rPr>
                  </w:pPr>
                  <w:r>
                    <w:rPr>
                      <w:rFonts w:hint="eastAsia"/>
                      <w:color w:val="000000"/>
                      <w:sz w:val="21"/>
                      <w:szCs w:val="21"/>
                      <w:lang w:val="en-US" w:eastAsia="zh-CN"/>
                    </w:rPr>
                    <w:t>200</w:t>
                  </w:r>
                </w:p>
              </w:tc>
              <w:tc>
                <w:tcPr>
                  <w:tcW w:w="879" w:type="pct"/>
                  <w:noWrap w:val="0"/>
                  <w:vAlign w:val="center"/>
                </w:tcPr>
                <w:p>
                  <w:pPr>
                    <w:keepNext w:val="0"/>
                    <w:keepLines w:val="0"/>
                    <w:pageBreakBefore w:val="0"/>
                    <w:widowControl/>
                    <w:kinsoku/>
                    <w:wordWrap/>
                    <w:overflowPunct/>
                    <w:topLinePunct w:val="0"/>
                    <w:autoSpaceDE/>
                    <w:autoSpaceDN/>
                    <w:bidi w:val="0"/>
                    <w:adjustRightInd/>
                    <w:snapToGrid/>
                    <w:ind w:left="0" w:leftChars="0" w:right="0" w:rightChars="0" w:firstLine="0" w:firstLineChars="0"/>
                    <w:jc w:val="center"/>
                    <w:textAlignment w:val="auto"/>
                    <w:rPr>
                      <w:rFonts w:hint="default"/>
                      <w:lang w:val="en-US" w:eastAsia="zh-CN"/>
                    </w:rPr>
                  </w:pPr>
                  <w:r>
                    <w:rPr>
                      <w:rFonts w:hint="eastAsia"/>
                      <w:lang w:val="en-US" w:eastAsia="zh-CN"/>
                    </w:rPr>
                    <w:t>0</w:t>
                  </w:r>
                </w:p>
              </w:tc>
            </w:tr>
          </w:tbl>
          <w:p>
            <w:pPr>
              <w:pStyle w:val="8"/>
              <w:spacing w:line="360" w:lineRule="auto"/>
              <w:ind w:left="0" w:leftChars="0" w:firstLine="480" w:firstLineChars="200"/>
            </w:pPr>
            <w:r>
              <w:rPr>
                <w:sz w:val="24"/>
                <w:szCs w:val="24"/>
                <w:lang w:val="en-GB"/>
              </w:rPr>
              <w:t>本项目</w:t>
            </w:r>
            <w:r>
              <w:rPr>
                <w:rFonts w:hint="eastAsia"/>
                <w:sz w:val="24"/>
                <w:szCs w:val="24"/>
                <w:lang w:val="en-US" w:eastAsia="zh-CN"/>
              </w:rPr>
              <w:t>主要</w:t>
            </w:r>
            <w:r>
              <w:rPr>
                <w:sz w:val="24"/>
                <w:szCs w:val="24"/>
                <w:lang w:val="en-GB"/>
              </w:rPr>
              <w:t>生产设备清单情况见表</w:t>
            </w:r>
            <w:r>
              <w:rPr>
                <w:sz w:val="24"/>
                <w:szCs w:val="24"/>
              </w:rPr>
              <w:t>2</w:t>
            </w:r>
            <w:r>
              <w:rPr>
                <w:sz w:val="24"/>
                <w:szCs w:val="24"/>
                <w:lang w:val="en-GB"/>
              </w:rPr>
              <w:t>-</w:t>
            </w:r>
            <w:r>
              <w:rPr>
                <w:rFonts w:hint="eastAsia"/>
                <w:sz w:val="24"/>
                <w:szCs w:val="24"/>
                <w:lang w:val="en-US" w:eastAsia="zh-CN"/>
              </w:rPr>
              <w:t>2</w:t>
            </w:r>
            <w:r>
              <w:rPr>
                <w:sz w:val="24"/>
                <w:szCs w:val="24"/>
              </w:rPr>
              <w:t>。</w:t>
            </w:r>
          </w:p>
          <w:p>
            <w:pPr>
              <w:jc w:val="center"/>
              <w:rPr>
                <w:rFonts w:hint="default"/>
                <w:lang w:val="en-US" w:eastAsia="zh-CN"/>
              </w:rPr>
            </w:pPr>
            <w:r>
              <w:rPr>
                <w:rFonts w:hint="default"/>
                <w:lang w:val="en-US" w:eastAsia="zh-CN"/>
              </w:rPr>
              <w:t>表2-</w:t>
            </w:r>
            <w:r>
              <w:rPr>
                <w:rFonts w:hint="eastAsia"/>
                <w:lang w:val="en-US" w:eastAsia="zh-CN"/>
              </w:rPr>
              <w:t>2</w:t>
            </w:r>
            <w:r>
              <w:rPr>
                <w:rFonts w:hint="default"/>
                <w:lang w:val="en-US" w:eastAsia="zh-CN"/>
              </w:rPr>
              <w:t xml:space="preserve">  项目主要设备清单</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2346"/>
              <w:gridCol w:w="1770"/>
              <w:gridCol w:w="1212"/>
              <w:gridCol w:w="1269"/>
              <w:gridCol w:w="1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41" w:type="pct"/>
                  <w:noWrap w:val="0"/>
                  <w:vAlign w:val="center"/>
                </w:tcPr>
                <w:p>
                  <w:pPr>
                    <w:pStyle w:val="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359"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设备名称</w:t>
                  </w:r>
                </w:p>
              </w:tc>
              <w:tc>
                <w:tcPr>
                  <w:tcW w:w="1025" w:type="pct"/>
                  <w:noWrap w:val="0"/>
                  <w:vAlign w:val="center"/>
                </w:tcPr>
                <w:p>
                  <w:pPr>
                    <w:pStyle w:val="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型号规格</w:t>
                  </w:r>
                </w:p>
              </w:tc>
              <w:tc>
                <w:tcPr>
                  <w:tcW w:w="702" w:type="pct"/>
                  <w:noWrap w:val="0"/>
                  <w:vAlign w:val="center"/>
                </w:tcPr>
                <w:p>
                  <w:pPr>
                    <w:pStyle w:val="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环评</w:t>
                  </w:r>
                  <w:r>
                    <w:rPr>
                      <w:rFonts w:hint="default" w:ascii="Times New Roman" w:hAnsi="Times New Roman" w:eastAsia="宋体" w:cs="Times New Roman"/>
                      <w:color w:val="auto"/>
                      <w:sz w:val="21"/>
                      <w:szCs w:val="21"/>
                    </w:rPr>
                    <w:t>数量</w:t>
                  </w:r>
                  <w:r>
                    <w:rPr>
                      <w:rFonts w:hint="default" w:ascii="Times New Roman" w:hAnsi="Times New Roman" w:eastAsia="宋体" w:cs="Times New Roman"/>
                      <w:color w:val="auto"/>
                      <w:sz w:val="21"/>
                      <w:szCs w:val="21"/>
                      <w:lang w:eastAsia="zh-CN"/>
                    </w:rPr>
                    <w:t>（台</w:t>
                  </w:r>
                  <w:r>
                    <w:rPr>
                      <w:rFonts w:hint="default" w:ascii="Times New Roman" w:hAnsi="Times New Roman" w:eastAsia="宋体" w:cs="Times New Roman"/>
                      <w:color w:val="auto"/>
                      <w:sz w:val="21"/>
                      <w:szCs w:val="21"/>
                      <w:lang w:val="en-US" w:eastAsia="zh-CN"/>
                    </w:rPr>
                    <w:t>/套</w:t>
                  </w:r>
                  <w:r>
                    <w:rPr>
                      <w:rFonts w:hint="default" w:ascii="Times New Roman" w:hAnsi="Times New Roman" w:eastAsia="宋体" w:cs="Times New Roman"/>
                      <w:color w:val="auto"/>
                      <w:sz w:val="21"/>
                      <w:szCs w:val="21"/>
                      <w:lang w:eastAsia="zh-CN"/>
                    </w:rPr>
                    <w:t>）</w:t>
                  </w:r>
                </w:p>
              </w:tc>
              <w:tc>
                <w:tcPr>
                  <w:tcW w:w="735" w:type="pct"/>
                  <w:noWrap w:val="0"/>
                  <w:vAlign w:val="center"/>
                </w:tcPr>
                <w:p>
                  <w:pPr>
                    <w:pStyle w:val="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实际数量</w:t>
                  </w:r>
                  <w:r>
                    <w:rPr>
                      <w:rFonts w:hint="default" w:ascii="Times New Roman" w:hAnsi="Times New Roman" w:eastAsia="宋体" w:cs="Times New Roman"/>
                      <w:color w:val="auto"/>
                      <w:sz w:val="21"/>
                      <w:szCs w:val="21"/>
                      <w:lang w:eastAsia="zh-CN"/>
                    </w:rPr>
                    <w:t>（台</w:t>
                  </w:r>
                  <w:r>
                    <w:rPr>
                      <w:rFonts w:hint="default" w:ascii="Times New Roman" w:hAnsi="Times New Roman" w:eastAsia="宋体" w:cs="Times New Roman"/>
                      <w:color w:val="auto"/>
                      <w:sz w:val="21"/>
                      <w:szCs w:val="21"/>
                      <w:lang w:val="en-US" w:eastAsia="zh-CN"/>
                    </w:rPr>
                    <w:t>/套</w:t>
                  </w:r>
                  <w:r>
                    <w:rPr>
                      <w:rFonts w:hint="default" w:ascii="Times New Roman" w:hAnsi="Times New Roman" w:eastAsia="宋体" w:cs="Times New Roman"/>
                      <w:color w:val="auto"/>
                      <w:sz w:val="21"/>
                      <w:szCs w:val="21"/>
                      <w:lang w:eastAsia="zh-CN"/>
                    </w:rPr>
                    <w:t>）</w:t>
                  </w:r>
                </w:p>
              </w:tc>
              <w:tc>
                <w:tcPr>
                  <w:tcW w:w="735" w:type="pct"/>
                  <w:noWrap w:val="0"/>
                  <w:vAlign w:val="center"/>
                </w:tcPr>
                <w:p>
                  <w:pPr>
                    <w:pStyle w:val="8"/>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全自动单头打端沾锡裁线机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BK-501S</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全自动电脑剥线机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BK-880B</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4</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4</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金属网剥皮机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HAN-200</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4</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气动剥皮机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BK-3F</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3</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3</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上锡机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PXD-S060</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激光打标机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HYFB-20</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静音强力塑料粉碎机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PC180</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注塑机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MTC-200KS</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交流弧焊机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STG-1000W</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精密气动交流点焊接</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PW105Q</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7</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7</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精密气动交流点焊接</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WIP-40S</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超静音铜带机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KS206S</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超静音铜带机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BK-04/06</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4</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4</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气动端子机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AM-10</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电阻剪脚机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BT-300</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超声波清洗机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TS-60H</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1359"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熔接机</w:t>
                  </w:r>
                </w:p>
              </w:tc>
              <w:tc>
                <w:tcPr>
                  <w:tcW w:w="102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FR-001</w:t>
                  </w:r>
                </w:p>
              </w:tc>
              <w:tc>
                <w:tcPr>
                  <w:tcW w:w="702"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3</w:t>
                  </w:r>
                </w:p>
              </w:tc>
              <w:tc>
                <w:tcPr>
                  <w:tcW w:w="735" w:type="pct"/>
                  <w:noWrap w:val="0"/>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3</w:t>
                  </w:r>
                </w:p>
              </w:tc>
              <w:tc>
                <w:tcPr>
                  <w:tcW w:w="735" w:type="pct"/>
                  <w:noWrap w:val="0"/>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18</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超静音端子机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BT-8T-C</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水冷机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DIC010ASS-LB2</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滚槽机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LP-1004</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油压扣管机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YJK-80X</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22</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气动扣管机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KY-100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23</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油压扣管机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LP-12018</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24</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高温烘箱</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WG-600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气动点胶机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TH-2004KE</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26</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气动点胶机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982</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27</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冰箱</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B-99/DS</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28</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保鲜柜</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29</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自动绕线扎线机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30</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快速脚踏封口机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SF-B</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31</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真空包装机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DS-260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手动叉车</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33</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激光焊接机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LWF150QZ</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34</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除尘打磨抛光机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砂轮机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36</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切管机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37</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仪表车床</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220791</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38</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逆变式氩弧焊机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WSM160A</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39</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逆变式氩弧焊机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TZG-200P</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40</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自动环缝焊接机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WL0002</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41</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激光焊接机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QL-T300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激光焊冷水机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TH-LW85-TSP</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43</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矫直机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44</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铠装电缆矫直机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精密点胶机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Fisnar 30cc</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精密熔接机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SS-2W</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47</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六边压接机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BK-6C</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48</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多功能数值万用表</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TH1951</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49</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多功能数值万用表</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KEITHLEY 2000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50</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交流耐电压测试仪</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ZHZ8A(5KV)</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51</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交流耐电压测试仪</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ZHZ8A(5KV)</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52</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绝缘电阻表</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ZC25B-3/500V</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53</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绝缘电阻表</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ZC25B-3/500V</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54</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稳压直流电源</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APS3003SI</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55</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直流电阻箱</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ZX25P</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56</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游标卡尺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BF103992</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57</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游标卡尺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18103380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58</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标准油槽</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HTS-200F</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59</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恒温恒湿箱</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BSC-150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60</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耐压测试仪（50KV）</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9639</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61</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管状检定设备</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JGLX-H</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62</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热电偶检定设备</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PR320A</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63</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卧式拉力测试台</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HP-300（0.5级）</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64</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显微镜</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20倍</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65</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ZRJ智能化热工仪表检定系统</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PR371</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66</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制冷恒温槽</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RTS-30A</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67</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标准油槽</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HTS-300A</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68</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制冷恒温槽</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RTS-80A</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69</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二箱式冷热冲击实验箱</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2AP-CJ-27B</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70</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精密盐水喷雾实验机</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LX-01</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71</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多路电阻测试仪</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HPS5108</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72</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稳压直流电源</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APS3005D</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73</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温湿度表</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WS508C</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74</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温度传感器测试台</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TSK-1000</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2</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75</w:t>
                  </w:r>
                </w:p>
              </w:tc>
              <w:tc>
                <w:tcPr>
                  <w:tcW w:w="1359"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废气处理设备</w:t>
                  </w:r>
                </w:p>
              </w:tc>
              <w:tc>
                <w:tcPr>
                  <w:tcW w:w="102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定制</w:t>
                  </w:r>
                </w:p>
              </w:tc>
              <w:tc>
                <w:tcPr>
                  <w:tcW w:w="702"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w:t>
                  </w:r>
                </w:p>
              </w:tc>
              <w:tc>
                <w:tcPr>
                  <w:tcW w:w="735" w:type="pct"/>
                  <w:vAlign w:val="center"/>
                </w:tcPr>
                <w:p>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rPr>
            </w:pPr>
          </w:p>
          <w:p>
            <w:pPr>
              <w:widowControl w:val="0"/>
              <w:spacing w:line="360" w:lineRule="auto"/>
              <w:rPr>
                <w:rFonts w:hint="default"/>
                <w:b/>
                <w:bCs/>
                <w:sz w:val="24"/>
                <w:szCs w:val="24"/>
              </w:rPr>
            </w:pPr>
            <w:r>
              <w:rPr>
                <w:rFonts w:hint="default"/>
                <w:b/>
                <w:bCs/>
                <w:sz w:val="24"/>
                <w:szCs w:val="24"/>
              </w:rPr>
              <w:t>二、原辅材料消耗</w:t>
            </w:r>
          </w:p>
          <w:p>
            <w:pPr>
              <w:pStyle w:val="8"/>
              <w:spacing w:line="360" w:lineRule="auto"/>
              <w:ind w:firstLine="480"/>
            </w:pPr>
            <w:r>
              <w:rPr>
                <w:rFonts w:hint="default"/>
                <w:sz w:val="24"/>
                <w:szCs w:val="24"/>
              </w:rPr>
              <w:t>本项目主要原辅材料消耗情况见表2-</w:t>
            </w:r>
            <w:r>
              <w:rPr>
                <w:rFonts w:hint="default"/>
                <w:sz w:val="24"/>
                <w:szCs w:val="24"/>
                <w:lang w:val="en-US" w:eastAsia="zh-CN"/>
              </w:rPr>
              <w:t>3</w:t>
            </w:r>
            <w:r>
              <w:rPr>
                <w:rFonts w:hint="default"/>
                <w:sz w:val="24"/>
                <w:szCs w:val="24"/>
              </w:rPr>
              <w:t>。</w:t>
            </w:r>
          </w:p>
          <w:p>
            <w:pPr>
              <w:pStyle w:val="39"/>
              <w:ind w:firstLine="0" w:firstLineChars="0"/>
              <w:jc w:val="center"/>
            </w:pPr>
            <w:r>
              <w:rPr>
                <w:rFonts w:hint="default" w:ascii="Times New Roman" w:hAnsi="Times New Roman" w:eastAsia="宋体" w:cs="Times New Roman"/>
                <w:sz w:val="21"/>
                <w:szCs w:val="21"/>
                <w:lang w:val="en-US" w:eastAsia="zh-CN"/>
              </w:rPr>
              <w:t>表2-3  项目主要原辅材料消耗</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5"/>
              <w:gridCol w:w="1940"/>
              <w:gridCol w:w="2430"/>
              <w:gridCol w:w="2347"/>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1"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rPr>
                  </w:pPr>
                  <w:r>
                    <w:rPr>
                      <w:rFonts w:hint="default"/>
                      <w:color w:val="auto"/>
                      <w:sz w:val="21"/>
                      <w:szCs w:val="21"/>
                    </w:rPr>
                    <w:t>序号</w:t>
                  </w:r>
                </w:p>
              </w:tc>
              <w:tc>
                <w:tcPr>
                  <w:tcW w:w="1124"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rPr>
                  </w:pPr>
                  <w:r>
                    <w:rPr>
                      <w:rFonts w:hint="default"/>
                      <w:color w:val="auto"/>
                      <w:sz w:val="21"/>
                      <w:szCs w:val="21"/>
                    </w:rPr>
                    <w:t>原材料名称</w:t>
                  </w:r>
                </w:p>
              </w:tc>
              <w:tc>
                <w:tcPr>
                  <w:tcW w:w="1408"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eastAsia="zh-CN"/>
                    </w:rPr>
                    <w:t>环评年</w:t>
                  </w:r>
                  <w:r>
                    <w:rPr>
                      <w:rFonts w:hint="default"/>
                      <w:color w:val="auto"/>
                      <w:sz w:val="21"/>
                      <w:szCs w:val="21"/>
                    </w:rPr>
                    <w:t>消耗量</w:t>
                  </w:r>
                </w:p>
              </w:tc>
              <w:tc>
                <w:tcPr>
                  <w:tcW w:w="1360"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21"/>
                      <w:szCs w:val="21"/>
                      <w:lang w:eastAsia="zh-CN"/>
                    </w:rPr>
                  </w:pPr>
                  <w:r>
                    <w:rPr>
                      <w:rFonts w:hint="eastAsia"/>
                      <w:color w:val="auto"/>
                      <w:sz w:val="21"/>
                      <w:szCs w:val="21"/>
                      <w:lang w:eastAsia="zh-CN"/>
                    </w:rPr>
                    <w:t>折算年用量</w:t>
                  </w:r>
                </w:p>
              </w:tc>
              <w:tc>
                <w:tcPr>
                  <w:tcW w:w="854"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olor w:val="auto"/>
                      <w:sz w:val="21"/>
                      <w:szCs w:val="21"/>
                      <w:lang w:eastAsia="zh-CN"/>
                    </w:rPr>
                  </w:pPr>
                  <w:r>
                    <w:rPr>
                      <w:rFonts w:hint="eastAsia"/>
                      <w:color w:val="auto"/>
                      <w:sz w:val="21"/>
                      <w:szCs w:val="21"/>
                      <w:lang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rPr>
                  </w:pPr>
                  <w:r>
                    <w:rPr>
                      <w:rFonts w:hint="default"/>
                      <w:color w:val="auto"/>
                      <w:sz w:val="21"/>
                      <w:szCs w:val="21"/>
                    </w:rPr>
                    <w:t>1</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环氧树脂胶</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100kg</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100kg</w:t>
                  </w:r>
                </w:p>
              </w:tc>
              <w:tc>
                <w:tcPr>
                  <w:tcW w:w="854" w:type="pct"/>
                  <w:noWrap w:val="0"/>
                  <w:vAlign w:val="center"/>
                </w:tcPr>
                <w:p>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rPr>
                  </w:pPr>
                  <w:r>
                    <w:rPr>
                      <w:rFonts w:hint="default"/>
                      <w:color w:val="auto"/>
                      <w:sz w:val="21"/>
                      <w:szCs w:val="21"/>
                    </w:rPr>
                    <w:t>2</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环氧胶固化剂</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50kg</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50kg</w:t>
                  </w:r>
                </w:p>
              </w:tc>
              <w:tc>
                <w:tcPr>
                  <w:tcW w:w="854" w:type="pc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rPr>
                  </w:pPr>
                  <w:r>
                    <w:rPr>
                      <w:rFonts w:hint="default"/>
                      <w:color w:val="auto"/>
                      <w:sz w:val="21"/>
                      <w:szCs w:val="21"/>
                    </w:rPr>
                    <w:t>3</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聚四氟乙烯颗粒</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500kg</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500kg</w:t>
                  </w:r>
                </w:p>
              </w:tc>
              <w:tc>
                <w:tcPr>
                  <w:tcW w:w="854" w:type="pct"/>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rPr>
                  </w:pPr>
                  <w:r>
                    <w:rPr>
                      <w:rFonts w:hint="default"/>
                      <w:color w:val="auto"/>
                      <w:sz w:val="21"/>
                      <w:szCs w:val="21"/>
                    </w:rPr>
                    <w:t>4</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无铅锡焊条</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50kg</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50kg</w:t>
                  </w:r>
                </w:p>
              </w:tc>
              <w:tc>
                <w:tcPr>
                  <w:tcW w:w="854" w:type="pct"/>
                  <w:noWrap w:val="0"/>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eastAsia="宋体"/>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rPr>
                  </w:pPr>
                  <w:r>
                    <w:rPr>
                      <w:rFonts w:hint="default"/>
                      <w:color w:val="auto"/>
                      <w:sz w:val="21"/>
                      <w:szCs w:val="21"/>
                    </w:rPr>
                    <w:t>5</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助焊剂</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20kg</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20kg</w:t>
                  </w:r>
                </w:p>
              </w:tc>
              <w:tc>
                <w:tcPr>
                  <w:tcW w:w="854" w:type="pct"/>
                  <w:noWrap w:val="0"/>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eastAsia="宋体"/>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6</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热敏电阻芯片</w:t>
                  </w:r>
                  <w:r>
                    <w:rPr>
                      <w:rFonts w:hint="default" w:ascii="Times New Roman" w:hAnsi="Times New Roman" w:eastAsia="宋体" w:cs="Times New Roman"/>
                      <w:b w:val="0"/>
                      <w:bCs w:val="0"/>
                      <w:color w:val="auto"/>
                      <w:sz w:val="21"/>
                      <w:szCs w:val="21"/>
                      <w:lang w:eastAsia="en-US"/>
                    </w:rPr>
                    <w:t>(NTC)</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200</w:t>
                  </w:r>
                  <w:r>
                    <w:rPr>
                      <w:rFonts w:hint="default" w:ascii="Times New Roman" w:hAnsi="Times New Roman" w:eastAsia="宋体" w:cs="Times New Roman"/>
                      <w:b w:val="0"/>
                      <w:bCs w:val="0"/>
                      <w:color w:val="auto"/>
                      <w:sz w:val="21"/>
                      <w:szCs w:val="21"/>
                    </w:rPr>
                    <w:t>万只</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200</w:t>
                  </w:r>
                  <w:r>
                    <w:rPr>
                      <w:rFonts w:hint="default" w:ascii="Times New Roman" w:hAnsi="Times New Roman" w:eastAsia="宋体" w:cs="Times New Roman"/>
                      <w:b w:val="0"/>
                      <w:bCs w:val="0"/>
                      <w:color w:val="auto"/>
                      <w:sz w:val="21"/>
                      <w:szCs w:val="21"/>
                    </w:rPr>
                    <w:t>万只</w:t>
                  </w:r>
                </w:p>
              </w:tc>
              <w:tc>
                <w:tcPr>
                  <w:tcW w:w="854" w:type="pct"/>
                  <w:noWrap w:val="0"/>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7</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线缆</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500</w:t>
                  </w:r>
                  <w:r>
                    <w:rPr>
                      <w:rFonts w:hint="default" w:ascii="Times New Roman" w:hAnsi="Times New Roman" w:eastAsia="宋体" w:cs="Times New Roman"/>
                      <w:b w:val="0"/>
                      <w:bCs w:val="0"/>
                      <w:color w:val="auto"/>
                      <w:sz w:val="21"/>
                      <w:szCs w:val="21"/>
                    </w:rPr>
                    <w:t>万米</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500</w:t>
                  </w:r>
                  <w:r>
                    <w:rPr>
                      <w:rFonts w:hint="default" w:ascii="Times New Roman" w:hAnsi="Times New Roman" w:eastAsia="宋体" w:cs="Times New Roman"/>
                      <w:b w:val="0"/>
                      <w:bCs w:val="0"/>
                      <w:color w:val="auto"/>
                      <w:sz w:val="21"/>
                      <w:szCs w:val="21"/>
                    </w:rPr>
                    <w:t>万米</w:t>
                  </w:r>
                </w:p>
              </w:tc>
              <w:tc>
                <w:tcPr>
                  <w:tcW w:w="854" w:type="pct"/>
                  <w:noWrap w:val="0"/>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2" w:type="pct"/>
                  <w:noWrap w:val="0"/>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8</w:t>
                  </w:r>
                </w:p>
              </w:tc>
              <w:tc>
                <w:tcPr>
                  <w:tcW w:w="1124"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SUS</w:t>
                  </w:r>
                  <w:r>
                    <w:rPr>
                      <w:rFonts w:hint="default" w:ascii="Times New Roman" w:hAnsi="Times New Roman" w:eastAsia="宋体" w:cs="Times New Roman"/>
                      <w:b w:val="0"/>
                      <w:bCs w:val="0"/>
                      <w:color w:val="auto"/>
                      <w:sz w:val="21"/>
                      <w:szCs w:val="21"/>
                    </w:rPr>
                    <w:t>不锈钢管</w:t>
                  </w:r>
                </w:p>
              </w:tc>
              <w:tc>
                <w:tcPr>
                  <w:tcW w:w="1408"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10吨</w:t>
                  </w:r>
                </w:p>
              </w:tc>
              <w:tc>
                <w:tcPr>
                  <w:tcW w:w="1360" w:type="pct"/>
                  <w:noWrap w:val="0"/>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10吨</w:t>
                  </w:r>
                </w:p>
              </w:tc>
              <w:tc>
                <w:tcPr>
                  <w:tcW w:w="854" w:type="pct"/>
                  <w:noWrap w:val="0"/>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dxa"/>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9</w:t>
                  </w:r>
                </w:p>
              </w:tc>
              <w:tc>
                <w:tcPr>
                  <w:tcW w:w="194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氧化镁粉</w:t>
                  </w:r>
                </w:p>
              </w:tc>
              <w:tc>
                <w:tcPr>
                  <w:tcW w:w="243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120kg</w:t>
                  </w:r>
                </w:p>
              </w:tc>
              <w:tc>
                <w:tcPr>
                  <w:tcW w:w="2347"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120kg</w:t>
                  </w:r>
                </w:p>
              </w:tc>
              <w:tc>
                <w:tcPr>
                  <w:tcW w:w="1475" w:type="dxa"/>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dxa"/>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10</w:t>
                  </w:r>
                </w:p>
              </w:tc>
              <w:tc>
                <w:tcPr>
                  <w:tcW w:w="194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导热硅脂</w:t>
                  </w:r>
                </w:p>
              </w:tc>
              <w:tc>
                <w:tcPr>
                  <w:tcW w:w="243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50kg</w:t>
                  </w:r>
                </w:p>
              </w:tc>
              <w:tc>
                <w:tcPr>
                  <w:tcW w:w="2347"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50kg</w:t>
                  </w:r>
                </w:p>
              </w:tc>
              <w:tc>
                <w:tcPr>
                  <w:tcW w:w="1475" w:type="dxa"/>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dxa"/>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11</w:t>
                  </w:r>
                </w:p>
              </w:tc>
              <w:tc>
                <w:tcPr>
                  <w:tcW w:w="194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润滑油</w:t>
                  </w:r>
                </w:p>
              </w:tc>
              <w:tc>
                <w:tcPr>
                  <w:tcW w:w="243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100kg</w:t>
                  </w:r>
                </w:p>
              </w:tc>
              <w:tc>
                <w:tcPr>
                  <w:tcW w:w="2347"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100kg</w:t>
                  </w:r>
                </w:p>
              </w:tc>
              <w:tc>
                <w:tcPr>
                  <w:tcW w:w="1475" w:type="dxa"/>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dxa"/>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12</w:t>
                  </w:r>
                </w:p>
              </w:tc>
              <w:tc>
                <w:tcPr>
                  <w:tcW w:w="194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氩气</w:t>
                  </w:r>
                </w:p>
              </w:tc>
              <w:tc>
                <w:tcPr>
                  <w:tcW w:w="243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15瓶</w:t>
                  </w:r>
                </w:p>
              </w:tc>
              <w:tc>
                <w:tcPr>
                  <w:tcW w:w="2347"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15瓶</w:t>
                  </w:r>
                </w:p>
              </w:tc>
              <w:tc>
                <w:tcPr>
                  <w:tcW w:w="1475" w:type="dxa"/>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dxa"/>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13</w:t>
                  </w:r>
                </w:p>
              </w:tc>
              <w:tc>
                <w:tcPr>
                  <w:tcW w:w="194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蒸馏水</w:t>
                  </w:r>
                </w:p>
              </w:tc>
              <w:tc>
                <w:tcPr>
                  <w:tcW w:w="243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50吨</w:t>
                  </w:r>
                </w:p>
              </w:tc>
              <w:tc>
                <w:tcPr>
                  <w:tcW w:w="2347"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50吨</w:t>
                  </w:r>
                </w:p>
              </w:tc>
              <w:tc>
                <w:tcPr>
                  <w:tcW w:w="1475" w:type="dxa"/>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5" w:type="dxa"/>
                  <w:vAlign w:val="center"/>
                </w:tcPr>
                <w:p>
                  <w:pPr>
                    <w:pStyle w:val="28"/>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14</w:t>
                  </w:r>
                </w:p>
              </w:tc>
              <w:tc>
                <w:tcPr>
                  <w:tcW w:w="194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金属焊丝</w:t>
                  </w:r>
                </w:p>
              </w:tc>
              <w:tc>
                <w:tcPr>
                  <w:tcW w:w="2430"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20kg</w:t>
                  </w:r>
                </w:p>
              </w:tc>
              <w:tc>
                <w:tcPr>
                  <w:tcW w:w="2347" w:type="dxa"/>
                  <w:vAlign w:val="center"/>
                </w:tcPr>
                <w:p>
                  <w:pPr>
                    <w:keepNext w:val="0"/>
                    <w:keepLines w:val="0"/>
                    <w:pageBreakBefore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eastAsia="en-US"/>
                    </w:rPr>
                    <w:t>20kg</w:t>
                  </w:r>
                </w:p>
              </w:tc>
              <w:tc>
                <w:tcPr>
                  <w:tcW w:w="1475" w:type="dxa"/>
                  <w:vAlign w:val="center"/>
                </w:tcPr>
                <w:p>
                  <w:pPr>
                    <w:pStyle w:val="89"/>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rPr>
                      <w:rFonts w:hint="default"/>
                      <w:color w:val="auto"/>
                      <w:sz w:val="21"/>
                      <w:szCs w:val="21"/>
                      <w:lang w:val="en-US" w:eastAsia="zh-CN"/>
                    </w:rPr>
                  </w:pPr>
                  <w:r>
                    <w:rPr>
                      <w:rFonts w:hint="eastAsia"/>
                      <w:color w:val="auto"/>
                      <w:sz w:val="21"/>
                      <w:szCs w:val="21"/>
                      <w:lang w:val="en-US" w:eastAsia="zh-CN"/>
                    </w:rPr>
                    <w:t>0</w:t>
                  </w:r>
                </w:p>
              </w:tc>
            </w:tr>
          </w:tbl>
          <w:p>
            <w:pPr>
              <w:pStyle w:val="39"/>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pPr>
          </w:p>
          <w:p>
            <w:pPr>
              <w:keepNext w:val="0"/>
              <w:keepLines w:val="0"/>
              <w:pageBreakBefore w:val="0"/>
              <w:widowControl w:val="0"/>
              <w:kinsoku/>
              <w:wordWrap/>
              <w:overflowPunct/>
              <w:topLinePunct w:val="0"/>
              <w:autoSpaceDE/>
              <w:autoSpaceDN/>
              <w:bidi w:val="0"/>
              <w:spacing w:line="360" w:lineRule="auto"/>
              <w:textAlignment w:val="auto"/>
              <w:rPr>
                <w:rFonts w:hint="eastAsia"/>
                <w:b/>
                <w:bCs/>
                <w:sz w:val="24"/>
                <w:szCs w:val="24"/>
                <w:lang w:val="en-US" w:eastAsia="zh-CN"/>
              </w:rPr>
            </w:pPr>
            <w:r>
              <w:rPr>
                <w:rFonts w:hint="default"/>
                <w:b/>
                <w:bCs/>
                <w:sz w:val="24"/>
                <w:szCs w:val="24"/>
              </w:rPr>
              <w:t>三、项目水平衡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sz w:val="24"/>
                <w:szCs w:val="24"/>
                <w:lang w:val="en-US" w:eastAsia="zh-CN"/>
              </w:rPr>
            </w:pPr>
            <w:r>
              <w:rPr>
                <w:rFonts w:hint="eastAsia"/>
                <w:sz w:val="24"/>
                <w:szCs w:val="24"/>
                <w:lang w:val="en-US" w:eastAsia="zh-CN"/>
              </w:rPr>
              <w:t>本项目员工人数为50人，不设食堂和宿舍，实行白班 8 小时工作制，年工作300天。根据2~4月用水量情况，</w:t>
            </w:r>
            <w:r>
              <w:rPr>
                <w:rFonts w:hint="eastAsia"/>
                <w:color w:val="auto"/>
                <w:sz w:val="24"/>
                <w:szCs w:val="24"/>
                <w:lang w:val="en-US" w:eastAsia="zh-CN"/>
              </w:rPr>
              <w:t>本项目年用水量约为728吨，其中生活用水量约为724吨，排污系数按0.85计，则年生活污水排放量约为615.4吨。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rPr>
            </w:pPr>
            <w:r>
              <w:rPr>
                <w:rFonts w:hint="default"/>
                <w:sz w:val="24"/>
                <w:szCs w:val="24"/>
              </w:rPr>
              <w:t>本项目水平衡如下图2-1所示。</w:t>
            </w:r>
          </w:p>
          <w:p>
            <w:pPr>
              <w:keepNext w:val="0"/>
              <w:keepLines w:val="0"/>
              <w:widowControl/>
              <w:suppressLineNumbers w:val="0"/>
              <w:jc w:val="left"/>
            </w:pPr>
            <w:r>
              <w:rPr>
                <w:rFonts w:ascii="宋体" w:hAnsi="宋体" w:eastAsia="宋体" w:cs="宋体"/>
                <w:kern w:val="0"/>
                <w:sz w:val="24"/>
                <w:szCs w:val="24"/>
                <w:lang w:val="en-US" w:eastAsia="zh-CN" w:bidi="ar"/>
              </w:rPr>
              <w:drawing>
                <wp:anchor distT="0" distB="0" distL="114300" distR="114300" simplePos="0" relativeHeight="251661312" behindDoc="1" locked="0" layoutInCell="1" allowOverlap="1">
                  <wp:simplePos x="0" y="0"/>
                  <wp:positionH relativeFrom="column">
                    <wp:posOffset>333375</wp:posOffset>
                  </wp:positionH>
                  <wp:positionV relativeFrom="paragraph">
                    <wp:posOffset>24765</wp:posOffset>
                  </wp:positionV>
                  <wp:extent cx="4914900" cy="1686560"/>
                  <wp:effectExtent l="0" t="0" r="0" b="8890"/>
                  <wp:wrapTight wrapText="bothSides">
                    <wp:wrapPolygon>
                      <wp:start x="0" y="0"/>
                      <wp:lineTo x="0" y="21470"/>
                      <wp:lineTo x="21516" y="21470"/>
                      <wp:lineTo x="21516" y="0"/>
                      <wp:lineTo x="0" y="0"/>
                    </wp:wrapPolygon>
                  </wp:wrapTight>
                  <wp:docPr id="1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descr="IMG_256"/>
                          <pic:cNvPicPr>
                            <a:picLocks noChangeAspect="1"/>
                          </pic:cNvPicPr>
                        </pic:nvPicPr>
                        <pic:blipFill>
                          <a:blip r:embed="rId12"/>
                          <a:stretch>
                            <a:fillRect/>
                          </a:stretch>
                        </pic:blipFill>
                        <pic:spPr>
                          <a:xfrm>
                            <a:off x="0" y="0"/>
                            <a:ext cx="4914900" cy="1686560"/>
                          </a:xfrm>
                          <a:prstGeom prst="rect">
                            <a:avLst/>
                          </a:prstGeom>
                          <a:noFill/>
                          <a:ln w="9525">
                            <a:noFill/>
                          </a:ln>
                        </pic:spPr>
                      </pic:pic>
                    </a:graphicData>
                  </a:graphic>
                </wp:anchor>
              </w:drawing>
            </w:r>
          </w:p>
          <w:p>
            <w:pPr>
              <w:pStyle w:val="2"/>
              <w:jc w:val="center"/>
              <w:rPr>
                <w:rFonts w:hint="default" w:ascii="Times New Roman" w:hAnsi="Times New Roman" w:cs="Times New Roman"/>
                <w:b w:val="0"/>
                <w:bCs w:val="0"/>
                <w:sz w:val="21"/>
                <w:szCs w:val="21"/>
              </w:rPr>
            </w:pPr>
          </w:p>
          <w:p>
            <w:pPr>
              <w:pStyle w:val="2"/>
              <w:jc w:val="center"/>
              <w:rPr>
                <w:rFonts w:hint="default" w:ascii="Times New Roman" w:hAnsi="Times New Roman" w:cs="Times New Roman"/>
                <w:b w:val="0"/>
                <w:bCs w:val="0"/>
                <w:sz w:val="21"/>
                <w:szCs w:val="21"/>
              </w:rPr>
            </w:pPr>
          </w:p>
          <w:p>
            <w:pPr>
              <w:pStyle w:val="2"/>
              <w:jc w:val="center"/>
              <w:rPr>
                <w:rFonts w:hint="default" w:ascii="Times New Roman" w:hAnsi="Times New Roman" w:cs="Times New Roman"/>
                <w:b w:val="0"/>
                <w:bCs w:val="0"/>
                <w:sz w:val="21"/>
                <w:szCs w:val="21"/>
              </w:rPr>
            </w:pPr>
          </w:p>
          <w:p>
            <w:pPr>
              <w:pStyle w:val="2"/>
              <w:jc w:val="center"/>
              <w:rPr>
                <w:rFonts w:hint="default" w:ascii="Times New Roman" w:hAnsi="Times New Roman" w:cs="Times New Roman"/>
                <w:b w:val="0"/>
                <w:bCs w:val="0"/>
                <w:sz w:val="21"/>
                <w:szCs w:val="21"/>
              </w:rPr>
            </w:pPr>
          </w:p>
          <w:p>
            <w:pPr>
              <w:pStyle w:val="2"/>
              <w:jc w:val="center"/>
              <w:rPr>
                <w:rFonts w:hint="default" w:ascii="Times New Roman" w:hAnsi="Times New Roman" w:cs="Times New Roman"/>
                <w:b w:val="0"/>
                <w:bCs w:val="0"/>
                <w:sz w:val="21"/>
                <w:szCs w:val="21"/>
              </w:rPr>
            </w:pPr>
          </w:p>
          <w:p>
            <w:pPr>
              <w:pStyle w:val="2"/>
              <w:jc w:val="center"/>
              <w:rPr>
                <w:rFonts w:hint="default" w:ascii="Times New Roman" w:hAnsi="Times New Roman" w:cs="Times New Roman"/>
                <w:b w:val="0"/>
                <w:bCs w:val="0"/>
                <w:sz w:val="21"/>
                <w:szCs w:val="21"/>
              </w:rPr>
            </w:pPr>
          </w:p>
          <w:p>
            <w:pPr>
              <w:pStyle w:val="2"/>
              <w:jc w:val="center"/>
              <w:rPr>
                <w:rFonts w:hint="default" w:ascii="Times New Roman" w:hAnsi="Times New Roman" w:cs="Times New Roman"/>
                <w:b w:val="0"/>
                <w:bCs w:val="0"/>
                <w:sz w:val="21"/>
                <w:szCs w:val="21"/>
              </w:rPr>
            </w:pPr>
          </w:p>
          <w:p>
            <w:pPr>
              <w:pStyle w:val="2"/>
              <w:jc w:val="center"/>
              <w:rPr>
                <w:rFonts w:hint="default" w:ascii="Times New Roman" w:hAnsi="Times New Roman" w:cs="Times New Roman"/>
                <w:b w:val="0"/>
                <w:bCs w:val="0"/>
                <w:sz w:val="21"/>
                <w:szCs w:val="21"/>
              </w:rPr>
            </w:pPr>
          </w:p>
          <w:p>
            <w:pPr>
              <w:pStyle w:val="2"/>
              <w:jc w:val="center"/>
              <w:rPr>
                <w:rFonts w:hint="default" w:eastAsia="宋体"/>
                <w:lang w:val="en-US" w:eastAsia="zh-CN"/>
              </w:rPr>
            </w:pPr>
            <w:r>
              <w:rPr>
                <w:rFonts w:hint="default" w:ascii="Times New Roman" w:hAnsi="Times New Roman" w:cs="Times New Roman"/>
                <w:b w:val="0"/>
                <w:bCs w:val="0"/>
                <w:sz w:val="21"/>
                <w:szCs w:val="21"/>
              </w:rPr>
              <w:t>图2-1  项目水平衡图</w:t>
            </w:r>
          </w:p>
          <w:p>
            <w:pPr>
              <w:widowControl w:val="0"/>
              <w:numPr>
                <w:ilvl w:val="0"/>
                <w:numId w:val="4"/>
              </w:numPr>
              <w:spacing w:line="360" w:lineRule="auto"/>
              <w:rPr>
                <w:rFonts w:hint="default"/>
                <w:b/>
                <w:bCs/>
                <w:sz w:val="24"/>
                <w:szCs w:val="24"/>
              </w:rPr>
            </w:pPr>
            <w:r>
              <w:rPr>
                <w:rFonts w:hint="default"/>
                <w:b/>
                <w:bCs/>
                <w:sz w:val="24"/>
                <w:szCs w:val="24"/>
              </w:rPr>
              <w:t>生产工艺流程</w:t>
            </w:r>
          </w:p>
          <w:p>
            <w:pPr>
              <w:pStyle w:val="8"/>
              <w:numPr>
                <w:ilvl w:val="0"/>
                <w:numId w:val="0"/>
              </w:numPr>
              <w:ind w:firstLine="480" w:firstLineChars="200"/>
              <w:rPr>
                <w:rFonts w:hint="default"/>
                <w:sz w:val="24"/>
                <w:szCs w:val="24"/>
                <w:lang w:eastAsia="zh-CN"/>
              </w:rPr>
            </w:pPr>
            <w:r>
              <w:rPr>
                <w:rFonts w:hint="default"/>
                <w:sz w:val="24"/>
                <w:szCs w:val="24"/>
              </w:rPr>
              <w:t>本项目工艺流程及产污环节示意图如图2-2所示</w:t>
            </w:r>
            <w:r>
              <w:rPr>
                <w:rFonts w:hint="default"/>
                <w:sz w:val="24"/>
                <w:szCs w:val="24"/>
                <w:lang w:eastAsia="zh-CN"/>
              </w:rPr>
              <w:t>。</w:t>
            </w:r>
          </w:p>
          <w:p>
            <w:pPr>
              <w:rPr>
                <w:rFonts w:hint="default"/>
              </w:rPr>
            </w:pPr>
            <w:r>
              <w:rPr>
                <w:rFonts w:hint="eastAsia"/>
                <w:b/>
                <w:szCs w:val="21"/>
              </w:rPr>
              <w:drawing>
                <wp:inline distT="0" distB="0" distL="114300" distR="114300">
                  <wp:extent cx="5595620" cy="2967355"/>
                  <wp:effectExtent l="0" t="0" r="5080" b="4445"/>
                  <wp:docPr id="13" name="图片 2" descr="2aabd8c3e74679842d917fd165636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2aabd8c3e74679842d917fd165636ec"/>
                          <pic:cNvPicPr>
                            <a:picLocks noChangeAspect="1"/>
                          </pic:cNvPicPr>
                        </pic:nvPicPr>
                        <pic:blipFill>
                          <a:blip r:embed="rId13"/>
                          <a:stretch>
                            <a:fillRect/>
                          </a:stretch>
                        </pic:blipFill>
                        <pic:spPr>
                          <a:xfrm>
                            <a:off x="0" y="0"/>
                            <a:ext cx="5595620" cy="2967355"/>
                          </a:xfrm>
                          <a:prstGeom prst="rect">
                            <a:avLst/>
                          </a:prstGeom>
                          <a:noFill/>
                          <a:ln>
                            <a:noFill/>
                          </a:ln>
                        </pic:spPr>
                      </pic:pic>
                    </a:graphicData>
                  </a:graphic>
                </wp:inline>
              </w:drawing>
            </w:r>
          </w:p>
          <w:p>
            <w:pPr>
              <w:widowControl w:val="0"/>
              <w:spacing w:line="360" w:lineRule="auto"/>
              <w:jc w:val="center"/>
              <w:rPr>
                <w:rFonts w:hint="eastAsia"/>
                <w:lang w:eastAsia="zh-CN"/>
              </w:rPr>
            </w:pPr>
            <w:r>
              <w:rPr>
                <w:rFonts w:hint="default" w:ascii="Times New Roman" w:hAnsi="Times New Roman" w:cs="Times New Roman"/>
                <w:sz w:val="21"/>
                <w:szCs w:val="21"/>
                <w:lang w:eastAsia="zh-CN"/>
              </w:rPr>
              <w:t xml:space="preserve">图2-2 </w:t>
            </w:r>
            <w:r>
              <w:rPr>
                <w:rFonts w:hint="eastAsia"/>
                <w:bCs/>
                <w:color w:val="000000"/>
                <w:sz w:val="21"/>
                <w:szCs w:val="21"/>
              </w:rPr>
              <w:t>智能温度传感器</w:t>
            </w:r>
            <w:r>
              <w:rPr>
                <w:rFonts w:hint="default" w:ascii="Times New Roman" w:hAnsi="Times New Roman" w:cs="Times New Roman"/>
                <w:sz w:val="21"/>
                <w:szCs w:val="21"/>
                <w:lang w:eastAsia="zh-CN"/>
              </w:rPr>
              <w:t>生产工艺流程及产污环节图</w:t>
            </w:r>
          </w:p>
          <w:p>
            <w:pPr>
              <w:pStyle w:val="31"/>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left"/>
              <w:textAlignment w:val="auto"/>
              <w:rPr>
                <w:rFonts w:hint="eastAsia"/>
                <w:b/>
                <w:bCs/>
                <w:color w:val="auto"/>
                <w:sz w:val="24"/>
                <w:szCs w:val="24"/>
                <w:lang w:val="en-US" w:eastAsia="zh-CN"/>
              </w:rPr>
            </w:pPr>
            <w:r>
              <w:rPr>
                <w:rFonts w:hint="eastAsia"/>
                <w:b/>
                <w:bCs/>
                <w:color w:val="auto"/>
                <w:sz w:val="24"/>
                <w:szCs w:val="24"/>
                <w:lang w:val="en-US" w:eastAsia="zh-CN"/>
              </w:rPr>
              <w:t>工艺流程说明：</w:t>
            </w:r>
          </w:p>
          <w:p>
            <w:pPr>
              <w:pStyle w:val="123"/>
              <w:tabs>
                <w:tab w:val="left" w:pos="1016"/>
              </w:tabs>
              <w:spacing w:line="360" w:lineRule="auto"/>
              <w:ind w:firstLine="482"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b/>
                <w:bCs/>
                <w:color w:val="000000"/>
                <w:sz w:val="24"/>
                <w:szCs w:val="24"/>
                <w:lang w:val="en-US" w:eastAsia="zh-CN"/>
              </w:rPr>
              <w:t>裁剪：</w:t>
            </w:r>
            <w:r>
              <w:rPr>
                <w:rFonts w:hint="default" w:ascii="Times New Roman" w:hAnsi="Times New Roman" w:eastAsia="宋体" w:cs="Times New Roman"/>
                <w:color w:val="000000"/>
                <w:sz w:val="24"/>
                <w:szCs w:val="24"/>
                <w:lang w:val="en-US" w:eastAsia="zh-CN"/>
              </w:rPr>
              <w:t>根据要求将</w:t>
            </w:r>
            <w:r>
              <w:rPr>
                <w:rFonts w:hint="default" w:ascii="Times New Roman" w:hAnsi="Times New Roman" w:eastAsia="宋体" w:cs="Times New Roman"/>
                <w:color w:val="000000"/>
                <w:sz w:val="24"/>
                <w:szCs w:val="24"/>
              </w:rPr>
              <w:t>外购</w:t>
            </w:r>
            <w:r>
              <w:rPr>
                <w:rFonts w:hint="default" w:ascii="Times New Roman" w:hAnsi="Times New Roman" w:eastAsia="宋体" w:cs="Times New Roman"/>
                <w:color w:val="000000"/>
                <w:sz w:val="24"/>
                <w:szCs w:val="24"/>
                <w:lang w:val="en-US" w:eastAsia="zh-CN"/>
              </w:rPr>
              <w:t>线缆通过</w:t>
            </w:r>
            <w:r>
              <w:rPr>
                <w:rFonts w:hint="default" w:ascii="Times New Roman" w:hAnsi="Times New Roman" w:eastAsia="宋体" w:cs="Times New Roman"/>
                <w:color w:val="000000"/>
                <w:sz w:val="24"/>
                <w:szCs w:val="24"/>
              </w:rPr>
              <w:t>裁线机和剥皮机进行</w:t>
            </w:r>
            <w:r>
              <w:rPr>
                <w:rFonts w:hint="default" w:ascii="Times New Roman" w:hAnsi="Times New Roman" w:eastAsia="宋体" w:cs="Times New Roman"/>
                <w:color w:val="000000"/>
                <w:sz w:val="24"/>
                <w:szCs w:val="24"/>
                <w:lang w:val="en-US" w:eastAsia="zh-CN"/>
              </w:rPr>
              <w:t>裁剪</w:t>
            </w:r>
            <w:r>
              <w:rPr>
                <w:rFonts w:hint="default" w:ascii="Times New Roman" w:hAnsi="Times New Roman" w:eastAsia="宋体" w:cs="Times New Roman"/>
                <w:color w:val="000000"/>
                <w:sz w:val="24"/>
                <w:szCs w:val="24"/>
              </w:rPr>
              <w:t>和剥皮处理，该过程会产生边角料和噪声</w:t>
            </w:r>
            <w:r>
              <w:rPr>
                <w:rFonts w:hint="default" w:ascii="Times New Roman" w:hAnsi="Times New Roman" w:eastAsia="宋体" w:cs="Times New Roman"/>
                <w:sz w:val="24"/>
                <w:szCs w:val="24"/>
                <w:lang w:eastAsia="zh-CN"/>
              </w:rPr>
              <w:t>；</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sz w:val="24"/>
                <w:szCs w:val="24"/>
                <w:lang w:val="en-US" w:eastAsia="zh-CN"/>
              </w:rPr>
              <w:t>浸锡：</w:t>
            </w:r>
            <w:r>
              <w:rPr>
                <w:rFonts w:hint="default" w:ascii="Times New Roman" w:hAnsi="Times New Roman" w:eastAsia="宋体" w:cs="Times New Roman"/>
                <w:sz w:val="24"/>
                <w:szCs w:val="24"/>
                <w:lang w:val="en-US" w:eastAsia="zh-CN"/>
              </w:rPr>
              <w:t>部分线缆通过裁剪剥皮后，将末端浸入助焊剂中，然后放在已经熔解的锡面上，待末端裸露部分和锡面接触到位后拿开。在此过程中产生浸锡废气，主要成分为有</w:t>
            </w:r>
            <w:r>
              <w:rPr>
                <w:rFonts w:hint="default" w:ascii="Times New Roman" w:hAnsi="Times New Roman" w:eastAsia="宋体" w:cs="Times New Roman"/>
                <w:color w:val="000000"/>
                <w:sz w:val="24"/>
                <w:szCs w:val="24"/>
                <w:lang w:val="en-US" w:eastAsia="zh-CN"/>
              </w:rPr>
              <w:t>机废气和锡及其化合物；</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sz w:val="24"/>
                <w:szCs w:val="24"/>
                <w:lang w:val="en-US" w:eastAsia="zh-CN"/>
              </w:rPr>
              <w:t>清洗：</w:t>
            </w:r>
            <w:r>
              <w:rPr>
                <w:rFonts w:hint="default" w:ascii="Times New Roman" w:hAnsi="Times New Roman" w:eastAsia="宋体" w:cs="Times New Roman"/>
                <w:color w:val="000000"/>
                <w:sz w:val="24"/>
                <w:szCs w:val="24"/>
                <w:lang w:val="en-US" w:eastAsia="zh-CN"/>
              </w:rPr>
              <w:t>对采购的芯片采用蒸馏水进行清洗除尘；</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sz w:val="24"/>
                <w:szCs w:val="24"/>
                <w:lang w:val="en-US" w:eastAsia="zh-CN"/>
              </w:rPr>
              <w:t>烘干：</w:t>
            </w:r>
            <w:r>
              <w:rPr>
                <w:rFonts w:hint="default" w:ascii="Times New Roman" w:hAnsi="Times New Roman" w:eastAsia="宋体" w:cs="Times New Roman"/>
                <w:color w:val="000000"/>
                <w:sz w:val="24"/>
                <w:szCs w:val="24"/>
                <w:lang w:val="en-US" w:eastAsia="zh-CN"/>
              </w:rPr>
              <w:t>芯片清洗后进入烘箱进行烘干，去除水分；</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sz w:val="24"/>
                <w:szCs w:val="24"/>
                <w:lang w:val="en-US" w:eastAsia="zh-CN"/>
              </w:rPr>
              <w:t>芯片焊接：</w:t>
            </w:r>
            <w:r>
              <w:rPr>
                <w:rFonts w:hint="default" w:ascii="Times New Roman" w:hAnsi="Times New Roman" w:eastAsia="宋体" w:cs="Times New Roman"/>
                <w:color w:val="000000"/>
                <w:sz w:val="24"/>
                <w:szCs w:val="24"/>
                <w:lang w:val="en-US" w:eastAsia="zh-CN"/>
              </w:rPr>
              <w:t>外购芯片与线缆进行点焊，该过程会产生少量焊接烟尘；</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sz w:val="24"/>
                <w:szCs w:val="24"/>
                <w:lang w:val="en-US" w:eastAsia="zh-CN"/>
              </w:rPr>
              <w:t>引脚绝缘：</w:t>
            </w:r>
            <w:r>
              <w:rPr>
                <w:rFonts w:hint="default" w:ascii="Times New Roman" w:hAnsi="Times New Roman" w:eastAsia="宋体" w:cs="Times New Roman"/>
                <w:color w:val="000000"/>
                <w:sz w:val="24"/>
                <w:szCs w:val="24"/>
                <w:lang w:val="en-US" w:eastAsia="zh-CN"/>
              </w:rPr>
              <w:t>线缆与芯片焊接产生的引脚进行绝缘处理，手工加装绝缘管。</w:t>
            </w:r>
          </w:p>
          <w:p>
            <w:pPr>
              <w:pStyle w:val="123"/>
              <w:tabs>
                <w:tab w:val="left" w:pos="1016"/>
              </w:tabs>
              <w:spacing w:line="360" w:lineRule="auto"/>
              <w:ind w:firstLine="482"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壳体焊接：</w:t>
            </w:r>
            <w:r>
              <w:rPr>
                <w:rFonts w:hint="default" w:ascii="Times New Roman" w:hAnsi="Times New Roman" w:eastAsia="宋体" w:cs="Times New Roman"/>
                <w:sz w:val="24"/>
                <w:szCs w:val="24"/>
                <w:lang w:val="en-US" w:eastAsia="zh-CN"/>
              </w:rPr>
              <w:t>针对不锈钢壳，根据产品外壳设计，将不锈钢进行激光焊接和氩弧焊接成型，该过程会产生少量焊接烟尘；</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sz w:val="24"/>
                <w:szCs w:val="24"/>
                <w:lang w:val="en-US" w:eastAsia="zh-CN"/>
              </w:rPr>
              <w:t>打磨抛光：</w:t>
            </w:r>
            <w:r>
              <w:rPr>
                <w:rFonts w:hint="default" w:ascii="Times New Roman" w:hAnsi="Times New Roman" w:eastAsia="宋体" w:cs="Times New Roman"/>
                <w:color w:val="000000"/>
                <w:sz w:val="24"/>
                <w:szCs w:val="24"/>
                <w:lang w:val="en-US" w:eastAsia="zh-CN"/>
              </w:rPr>
              <w:t>利用除尘打磨抛光机及砂轮机进行对不锈钢外壳进行打磨、抛光处理，该过程会产生废金属边角料和打磨抛光粉尘；</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sz w:val="24"/>
                <w:szCs w:val="24"/>
                <w:lang w:val="en-US" w:eastAsia="zh-CN"/>
              </w:rPr>
              <w:t>注塑：</w:t>
            </w:r>
            <w:r>
              <w:rPr>
                <w:rFonts w:hint="default" w:ascii="Times New Roman" w:hAnsi="Times New Roman" w:eastAsia="宋体" w:cs="Times New Roman"/>
                <w:color w:val="000000"/>
                <w:sz w:val="24"/>
                <w:szCs w:val="24"/>
                <w:lang w:val="en-US" w:eastAsia="zh-CN"/>
              </w:rPr>
              <w:t>针对塑料壳体和塑料部件，将外购PTFE原料使用电热干燥箱去除水分，并根据产品设计方案注塑成型，注塑温度为350℃（PTFE热分解温度大于415°C），注塑组件采用自然风冷冷却，该过程会产生有机废气；</w:t>
            </w:r>
          </w:p>
          <w:p>
            <w:pPr>
              <w:pStyle w:val="123"/>
              <w:tabs>
                <w:tab w:val="left" w:pos="1016"/>
              </w:tabs>
              <w:spacing w:line="360" w:lineRule="auto"/>
              <w:ind w:firstLine="482" w:firstLineChars="200"/>
              <w:rPr>
                <w:rFonts w:hint="default" w:ascii="Times New Roman" w:hAnsi="Times New Roman" w:eastAsia="宋体" w:cs="Times New Roman"/>
                <w:sz w:val="24"/>
                <w:szCs w:val="24"/>
              </w:rPr>
            </w:pPr>
            <w:r>
              <w:rPr>
                <w:rFonts w:hint="default" w:ascii="Times New Roman" w:hAnsi="Times New Roman" w:eastAsia="宋体" w:cs="Times New Roman"/>
                <w:b/>
                <w:bCs/>
                <w:color w:val="000000"/>
                <w:sz w:val="24"/>
                <w:szCs w:val="24"/>
                <w:lang w:val="en-US" w:eastAsia="zh-CN"/>
              </w:rPr>
              <w:t>粉碎：</w:t>
            </w:r>
            <w:r>
              <w:rPr>
                <w:rFonts w:hint="default" w:ascii="Times New Roman" w:hAnsi="Times New Roman" w:eastAsia="宋体" w:cs="Times New Roman"/>
                <w:color w:val="000000"/>
                <w:sz w:val="24"/>
                <w:szCs w:val="24"/>
                <w:lang w:val="en-US" w:eastAsia="zh-CN"/>
              </w:rPr>
              <w:t>不合格品经粉碎机粉碎后，</w:t>
            </w:r>
            <w:r>
              <w:rPr>
                <w:rFonts w:hint="default" w:ascii="Times New Roman" w:hAnsi="Times New Roman" w:eastAsia="宋体" w:cs="Times New Roman"/>
                <w:color w:val="000000"/>
                <w:kern w:val="0"/>
                <w:sz w:val="24"/>
                <w:szCs w:val="24"/>
                <w:lang w:val="en-US" w:eastAsia="zh-CN" w:bidi="ar"/>
              </w:rPr>
              <w:t>回收再利用，由于粉碎机工作时密闭，粉尘后料直径约为6mm的大颗粒塑料粒子，粉尘产生量极小；</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sz w:val="24"/>
                <w:szCs w:val="24"/>
                <w:lang w:val="en-US" w:eastAsia="zh-CN"/>
              </w:rPr>
              <w:t>装配：</w:t>
            </w:r>
            <w:r>
              <w:rPr>
                <w:rFonts w:hint="default" w:ascii="Times New Roman" w:hAnsi="Times New Roman" w:eastAsia="宋体" w:cs="Times New Roman"/>
                <w:color w:val="000000"/>
                <w:sz w:val="24"/>
                <w:szCs w:val="24"/>
                <w:lang w:val="en-US" w:eastAsia="zh-CN"/>
              </w:rPr>
              <w:t>将不锈钢壳体和芯片进行组装，并做好壳体绝缘；</w:t>
            </w:r>
          </w:p>
          <w:p>
            <w:pPr>
              <w:pStyle w:val="123"/>
              <w:tabs>
                <w:tab w:val="left" w:pos="1016"/>
              </w:tabs>
              <w:spacing w:line="360" w:lineRule="auto"/>
              <w:ind w:firstLine="482"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填充：</w:t>
            </w:r>
            <w:r>
              <w:rPr>
                <w:rFonts w:hint="default" w:ascii="Times New Roman" w:hAnsi="Times New Roman" w:eastAsia="宋体" w:cs="Times New Roman"/>
                <w:color w:val="000000"/>
                <w:kern w:val="0"/>
                <w:sz w:val="24"/>
                <w:szCs w:val="24"/>
                <w:lang w:val="en-US" w:eastAsia="zh-CN" w:bidi="ar"/>
              </w:rPr>
              <w:t>在壳体中加入氧化镁粉、导热硅脂原料等进行填充；</w:t>
            </w:r>
          </w:p>
          <w:p>
            <w:pPr>
              <w:pStyle w:val="123"/>
              <w:tabs>
                <w:tab w:val="left" w:pos="1016"/>
              </w:tabs>
              <w:spacing w:line="360" w:lineRule="auto"/>
              <w:ind w:firstLine="482"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b/>
                <w:bCs/>
                <w:color w:val="000000"/>
                <w:kern w:val="0"/>
                <w:sz w:val="24"/>
                <w:szCs w:val="24"/>
                <w:lang w:val="en-US" w:eastAsia="zh-CN" w:bidi="ar"/>
              </w:rPr>
              <w:t>卡压：</w:t>
            </w:r>
            <w:r>
              <w:rPr>
                <w:rFonts w:hint="default" w:ascii="Times New Roman" w:hAnsi="Times New Roman" w:eastAsia="宋体" w:cs="Times New Roman"/>
                <w:color w:val="000000"/>
                <w:kern w:val="0"/>
                <w:sz w:val="24"/>
                <w:szCs w:val="24"/>
                <w:lang w:val="en-US" w:eastAsia="zh-CN" w:bidi="ar"/>
              </w:rPr>
              <w:t>将不锈钢壳体放入压接机进行卡压塑</w:t>
            </w:r>
            <w:r>
              <w:rPr>
                <w:rFonts w:hint="default" w:ascii="Times New Roman" w:hAnsi="Times New Roman" w:eastAsia="宋体" w:cs="Times New Roman"/>
                <w:color w:val="000000"/>
                <w:sz w:val="24"/>
                <w:szCs w:val="24"/>
                <w:lang w:val="en-US" w:eastAsia="zh-CN"/>
              </w:rPr>
              <w:t>形；</w:t>
            </w:r>
          </w:p>
          <w:p>
            <w:pPr>
              <w:pStyle w:val="123"/>
              <w:tabs>
                <w:tab w:val="left" w:pos="1016"/>
              </w:tabs>
              <w:spacing w:line="360" w:lineRule="auto"/>
              <w:ind w:firstLine="482"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bCs/>
                <w:color w:val="000000"/>
                <w:sz w:val="24"/>
                <w:szCs w:val="24"/>
                <w:lang w:val="en-US" w:eastAsia="zh-CN"/>
              </w:rPr>
              <w:t>密封</w:t>
            </w:r>
            <w:r>
              <w:rPr>
                <w:rFonts w:hint="default" w:ascii="Times New Roman" w:hAnsi="Times New Roman" w:eastAsia="宋体" w:cs="Times New Roman"/>
                <w:color w:val="000000"/>
                <w:sz w:val="24"/>
                <w:szCs w:val="24"/>
                <w:lang w:val="en-US" w:eastAsia="zh-CN"/>
              </w:rPr>
              <w:t>：采用点胶机将灌环氧树脂胶注入半成品进行固定，胶水在固化过程中会有一定的有机废气，并放入老化箱测试其耐臭氧老化性能，控制老化温度80℃，老化过</w:t>
            </w:r>
            <w:r>
              <w:rPr>
                <w:rFonts w:hint="default" w:ascii="Times New Roman" w:hAnsi="Times New Roman" w:eastAsia="宋体" w:cs="Times New Roman"/>
                <w:color w:val="000000"/>
                <w:kern w:val="0"/>
                <w:sz w:val="24"/>
                <w:szCs w:val="24"/>
                <w:lang w:val="en-US" w:eastAsia="zh-CN" w:bidi="ar"/>
              </w:rPr>
              <w:t>程中会有少量有机废气产生；</w:t>
            </w:r>
          </w:p>
          <w:p>
            <w:pPr>
              <w:pStyle w:val="123"/>
              <w:tabs>
                <w:tab w:val="left" w:pos="1016"/>
              </w:tabs>
              <w:spacing w:line="360" w:lineRule="auto"/>
              <w:ind w:firstLine="482"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压接端子：</w:t>
            </w:r>
            <w:r>
              <w:rPr>
                <w:rFonts w:hint="default" w:ascii="Times New Roman" w:hAnsi="Times New Roman" w:eastAsia="宋体" w:cs="Times New Roman"/>
                <w:color w:val="000000"/>
                <w:kern w:val="0"/>
                <w:sz w:val="24"/>
                <w:szCs w:val="24"/>
                <w:lang w:val="en-US" w:eastAsia="zh-CN" w:bidi="ar"/>
              </w:rPr>
              <w:t>将电线放入端子机中，打出端子，稳定的将两根导线更易连接在一起，经铜带机进行压接，无需焊接；</w:t>
            </w:r>
          </w:p>
          <w:p>
            <w:pPr>
              <w:pStyle w:val="123"/>
              <w:tabs>
                <w:tab w:val="left" w:pos="1016"/>
              </w:tabs>
              <w:spacing w:line="360" w:lineRule="auto"/>
              <w:ind w:firstLine="482"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打标：</w:t>
            </w:r>
            <w:r>
              <w:rPr>
                <w:rFonts w:hint="default" w:ascii="Times New Roman" w:hAnsi="Times New Roman" w:eastAsia="宋体" w:cs="Times New Roman"/>
                <w:color w:val="000000"/>
                <w:kern w:val="0"/>
                <w:sz w:val="24"/>
                <w:szCs w:val="24"/>
                <w:lang w:val="en-US" w:eastAsia="zh-CN" w:bidi="ar"/>
              </w:rPr>
              <w:t>利用激光打标机对产品进行打标；</w:t>
            </w:r>
          </w:p>
          <w:p>
            <w:pPr>
              <w:pStyle w:val="123"/>
              <w:tabs>
                <w:tab w:val="left" w:pos="1016"/>
              </w:tabs>
              <w:spacing w:line="360" w:lineRule="auto"/>
              <w:ind w:firstLine="482"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检测：</w:t>
            </w:r>
            <w:r>
              <w:rPr>
                <w:rFonts w:hint="default" w:ascii="Times New Roman" w:hAnsi="Times New Roman" w:eastAsia="宋体" w:cs="Times New Roman"/>
                <w:color w:val="000000"/>
                <w:kern w:val="0"/>
                <w:sz w:val="24"/>
                <w:szCs w:val="24"/>
                <w:lang w:val="en-US" w:eastAsia="zh-CN" w:bidi="ar"/>
              </w:rPr>
              <w:t>将产品送入检测室进行检测；</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Times New Roman" w:hAnsi="Times New Roman" w:eastAsia="宋体" w:cs="Times New Roman"/>
                <w:color w:val="000000"/>
                <w:sz w:val="24"/>
                <w:lang w:val="en-US" w:eastAsia="zh-CN"/>
              </w:rPr>
            </w:pPr>
            <w:r>
              <w:rPr>
                <w:rFonts w:hint="default" w:ascii="Times New Roman" w:hAnsi="Times New Roman" w:eastAsia="宋体" w:cs="Times New Roman"/>
                <w:b/>
                <w:bCs/>
                <w:color w:val="000000"/>
                <w:kern w:val="0"/>
                <w:sz w:val="24"/>
                <w:szCs w:val="24"/>
                <w:lang w:val="en-US" w:eastAsia="zh-CN" w:bidi="ar"/>
              </w:rPr>
              <w:t>入库：</w:t>
            </w:r>
            <w:r>
              <w:rPr>
                <w:rFonts w:hint="default" w:ascii="Times New Roman" w:hAnsi="Times New Roman" w:eastAsia="宋体" w:cs="Times New Roman"/>
                <w:color w:val="000000"/>
                <w:kern w:val="0"/>
                <w:sz w:val="24"/>
                <w:szCs w:val="24"/>
                <w:lang w:val="en-US" w:eastAsia="zh-CN" w:bidi="ar"/>
              </w:rPr>
              <w:t>对于检测合格后的产品进行入库登记。</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b/>
                <w:bCs/>
                <w:color w:val="auto"/>
                <w:sz w:val="24"/>
                <w:szCs w:val="24"/>
              </w:rPr>
            </w:pPr>
            <w:r>
              <w:rPr>
                <w:rFonts w:hint="eastAsia"/>
                <w:b/>
                <w:bCs/>
                <w:color w:val="auto"/>
                <w:sz w:val="24"/>
                <w:szCs w:val="24"/>
                <w:lang w:val="en-US" w:eastAsia="zh-CN"/>
              </w:rPr>
              <w:t>五、</w:t>
            </w:r>
            <w:r>
              <w:rPr>
                <w:rFonts w:hint="eastAsia"/>
                <w:b/>
                <w:bCs/>
                <w:color w:val="auto"/>
                <w:sz w:val="24"/>
                <w:szCs w:val="24"/>
              </w:rPr>
              <w:t>项目</w:t>
            </w:r>
            <w:r>
              <w:rPr>
                <w:b/>
                <w:bCs/>
                <w:color w:val="auto"/>
                <w:sz w:val="24"/>
                <w:szCs w:val="24"/>
              </w:rPr>
              <w:t>变</w:t>
            </w:r>
            <w:r>
              <w:rPr>
                <w:rFonts w:hint="eastAsia"/>
                <w:b/>
                <w:bCs/>
                <w:color w:val="auto"/>
                <w:sz w:val="24"/>
                <w:szCs w:val="24"/>
              </w:rPr>
              <w:t>动</w:t>
            </w:r>
            <w:r>
              <w:rPr>
                <w:b/>
                <w:bCs/>
                <w:color w:val="auto"/>
                <w:sz w:val="24"/>
                <w:szCs w:val="24"/>
              </w:rPr>
              <w:t>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宋体"/>
                <w:lang w:val="en-US" w:eastAsia="zh-CN"/>
              </w:rPr>
            </w:pPr>
            <w:r>
              <w:rPr>
                <w:rFonts w:hint="eastAsia" w:ascii="宋体" w:hAnsi="宋体" w:cs="宋体"/>
                <w:sz w:val="24"/>
                <w:szCs w:val="24"/>
                <w:lang w:val="en-US" w:eastAsia="zh-CN"/>
              </w:rPr>
              <w:t>本</w:t>
            </w:r>
            <w:r>
              <w:rPr>
                <w:rFonts w:hint="eastAsia" w:ascii="宋体" w:hAnsi="宋体" w:eastAsia="宋体" w:cs="宋体"/>
                <w:sz w:val="24"/>
                <w:szCs w:val="24"/>
                <w:lang w:val="en-US" w:eastAsia="zh-CN"/>
              </w:rPr>
              <w:t>项目性质、生产规模、建设地点等与原审批环评报告和批复</w:t>
            </w:r>
            <w:r>
              <w:rPr>
                <w:rFonts w:hint="eastAsia" w:ascii="宋体" w:hAnsi="宋体" w:cs="宋体"/>
                <w:sz w:val="24"/>
                <w:szCs w:val="24"/>
                <w:lang w:val="en-US" w:eastAsia="zh-CN"/>
              </w:rPr>
              <w:t>基本</w:t>
            </w:r>
            <w:r>
              <w:rPr>
                <w:rFonts w:hint="eastAsia" w:ascii="宋体" w:hAnsi="宋体" w:eastAsia="宋体" w:cs="宋体"/>
                <w:sz w:val="24"/>
                <w:szCs w:val="24"/>
                <w:lang w:val="en-US" w:eastAsia="zh-CN"/>
              </w:rPr>
              <w:t>一致</w:t>
            </w:r>
            <w:r>
              <w:rPr>
                <w:rFonts w:hint="default" w:ascii="Times New Roman" w:hAnsi="Times New Roman" w:eastAsia="宋体" w:cs="Times New Roman"/>
                <w:sz w:val="24"/>
                <w:szCs w:val="24"/>
                <w:lang w:val="en-US" w:eastAsia="zh-CN"/>
              </w:rPr>
              <w:t>。</w:t>
            </w:r>
            <w:r>
              <w:rPr>
                <w:rFonts w:hint="eastAsia"/>
                <w:sz w:val="24"/>
              </w:rPr>
              <w:t>抛光粉尘</w:t>
            </w:r>
            <w:r>
              <w:rPr>
                <w:rFonts w:hint="eastAsia"/>
                <w:sz w:val="24"/>
                <w:lang w:eastAsia="zh-CN"/>
              </w:rPr>
              <w:t>环评中</w:t>
            </w:r>
            <w:r>
              <w:rPr>
                <w:rFonts w:hint="eastAsia"/>
                <w:sz w:val="24"/>
              </w:rPr>
              <w:t>建议企业采用布袋除尘装置(收集效率</w:t>
            </w:r>
            <w:r>
              <w:rPr>
                <w:rFonts w:hint="eastAsia"/>
                <w:sz w:val="24"/>
                <w:lang w:val="en-US" w:eastAsia="zh-CN"/>
              </w:rPr>
              <w:t>&gt;</w:t>
            </w:r>
            <w:r>
              <w:rPr>
                <w:rFonts w:hint="eastAsia"/>
                <w:sz w:val="24"/>
              </w:rPr>
              <w:t>70%，总风量1500m</w:t>
            </w:r>
            <w:r>
              <w:rPr>
                <w:rFonts w:hint="eastAsia"/>
                <w:sz w:val="24"/>
                <w:vertAlign w:val="superscript"/>
              </w:rPr>
              <w:t>3</w:t>
            </w:r>
            <w:r>
              <w:rPr>
                <w:rFonts w:hint="eastAsia"/>
                <w:sz w:val="24"/>
              </w:rPr>
              <w:t xml:space="preserve"> /h，处理工艺：布袋除尘装置，处理效率按90%计)，对打磨抛光废气进行收集处理后于通过排气筒（不低于15m）于屋顶高空排放</w:t>
            </w:r>
            <w:r>
              <w:rPr>
                <w:rFonts w:hint="eastAsia"/>
                <w:sz w:val="24"/>
                <w:lang w:eastAsia="zh-CN"/>
              </w:rPr>
              <w:t>，实际本项目对其进行污染物处理措施加强，抛光粉尘经收集后与焊接废气一起经布袋除尘+两级活性炭吸附处理，处理达标后通过排气筒（</w:t>
            </w:r>
            <w:r>
              <w:rPr>
                <w:rFonts w:hint="eastAsia"/>
                <w:sz w:val="24"/>
                <w:lang w:val="en-US" w:eastAsia="zh-CN"/>
              </w:rPr>
              <w:t>20</w:t>
            </w:r>
            <w:r>
              <w:rPr>
                <w:rFonts w:hint="eastAsia"/>
                <w:sz w:val="24"/>
                <w:lang w:eastAsia="zh-CN"/>
              </w:rPr>
              <w:t>m）于屋顶高空排放</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对照</w:t>
            </w:r>
            <w:r>
              <w:rPr>
                <w:rFonts w:hint="default" w:ascii="Times New Roman" w:hAnsi="Times New Roman" w:eastAsia="宋体" w:cs="Times New Roman"/>
                <w:sz w:val="24"/>
                <w:szCs w:val="24"/>
              </w:rPr>
              <w:t>《关于印发污染影响类建设项目重大变动清单（试行）的通知》（环办环评函[2020]688号）</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lang w:val="en-US" w:eastAsia="zh-CN"/>
              </w:rPr>
              <w:t>项目未发生</w:t>
            </w:r>
            <w:r>
              <w:rPr>
                <w:rFonts w:hint="default" w:ascii="Times New Roman" w:hAnsi="Times New Roman" w:eastAsia="宋体" w:cs="Times New Roman"/>
                <w:sz w:val="24"/>
                <w:szCs w:val="24"/>
                <w:lang w:val="en-US" w:eastAsia="zh-CN"/>
              </w:rPr>
              <w:t>重大变动</w:t>
            </w:r>
            <w:r>
              <w:rPr>
                <w:rFonts w:hint="eastAsia" w:cs="Times New Roman"/>
                <w:sz w:val="24"/>
                <w:szCs w:val="24"/>
                <w:lang w:val="en-US" w:eastAsia="zh-CN"/>
              </w:rPr>
              <w:t>。</w:t>
            </w:r>
          </w:p>
        </w:tc>
      </w:tr>
    </w:tbl>
    <w:p>
      <w:pPr>
        <w:rPr>
          <w:color w:val="FF0000"/>
        </w:rPr>
        <w:sectPr>
          <w:pgSz w:w="12240" w:h="15840"/>
          <w:pgMar w:top="1440" w:right="1800" w:bottom="1440" w:left="1800" w:header="720" w:footer="720" w:gutter="0"/>
          <w:pgNumType w:fmt="decimal"/>
          <w:cols w:space="720" w:num="1"/>
          <w:docGrid w:type="lines" w:linePitch="312" w:charSpace="0"/>
        </w:sectPr>
      </w:pPr>
    </w:p>
    <w:p>
      <w:pPr>
        <w:pStyle w:val="4"/>
        <w:bidi w:val="0"/>
        <w:rPr>
          <w:rFonts w:hint="eastAsia" w:ascii="宋体" w:hAnsi="宋体" w:eastAsia="宋体" w:cs="宋体"/>
        </w:rPr>
      </w:pPr>
      <w:bookmarkStart w:id="12" w:name="_Toc28672"/>
      <w:bookmarkStart w:id="13" w:name="_Toc19894"/>
      <w:bookmarkStart w:id="14" w:name="_Toc12807"/>
      <w:bookmarkStart w:id="15" w:name="_Toc4037"/>
      <w:bookmarkStart w:id="16" w:name="_Toc103603941"/>
      <w:r>
        <w:rPr>
          <w:rFonts w:hint="eastAsia" w:ascii="宋体" w:hAnsi="宋体" w:eastAsia="宋体" w:cs="宋体"/>
        </w:rPr>
        <w:t>表三</w:t>
      </w:r>
      <w:bookmarkEnd w:id="12"/>
      <w:bookmarkEnd w:id="13"/>
      <w:bookmarkEnd w:id="14"/>
      <w:r>
        <w:rPr>
          <w:rFonts w:hint="eastAsia" w:ascii="宋体" w:hAnsi="宋体" w:eastAsia="宋体" w:cs="宋体"/>
        </w:rPr>
        <w:t xml:space="preserve">  主要污染源、污染物处理和排放</w:t>
      </w:r>
      <w:bookmarkEnd w:id="15"/>
      <w:bookmarkEnd w:id="16"/>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0" w:hRule="atLeast"/>
          <w:jc w:val="center"/>
        </w:trPr>
        <w:tc>
          <w:tcPr>
            <w:tcW w:w="5000" w:type="pct"/>
          </w:tcPr>
          <w:p>
            <w:pPr>
              <w:widowControl w:val="0"/>
              <w:spacing w:line="360" w:lineRule="auto"/>
              <w:jc w:val="left"/>
              <w:rPr>
                <w:rFonts w:hint="eastAsia" w:eastAsia="宋体"/>
                <w:b/>
                <w:bCs/>
                <w:sz w:val="24"/>
                <w:szCs w:val="24"/>
                <w:lang w:val="en-US" w:eastAsia="zh-CN"/>
              </w:rPr>
            </w:pPr>
            <w:r>
              <w:rPr>
                <w:rFonts w:hint="eastAsia"/>
                <w:b/>
                <w:bCs/>
                <w:sz w:val="24"/>
                <w:szCs w:val="24"/>
              </w:rPr>
              <w:t>一、废</w:t>
            </w:r>
            <w:r>
              <w:rPr>
                <w:rFonts w:hint="eastAsia"/>
                <w:b/>
                <w:bCs/>
                <w:sz w:val="24"/>
                <w:szCs w:val="24"/>
                <w:lang w:val="en-US" w:eastAsia="zh-CN"/>
              </w:rPr>
              <w:t>水</w:t>
            </w:r>
          </w:p>
          <w:p>
            <w:pPr>
              <w:widowControl w:val="0"/>
              <w:adjustRightInd w:val="0"/>
              <w:spacing w:line="360" w:lineRule="auto"/>
              <w:ind w:firstLine="480" w:firstLineChars="200"/>
              <w:jc w:val="left"/>
              <w:rPr>
                <w:rFonts w:hint="default"/>
                <w:sz w:val="24"/>
                <w:lang w:val="en-US"/>
              </w:rPr>
            </w:pPr>
            <w:r>
              <w:rPr>
                <w:sz w:val="24"/>
              </w:rPr>
              <w:t>本项目</w:t>
            </w:r>
            <w:r>
              <w:rPr>
                <w:rFonts w:hint="eastAsia"/>
                <w:sz w:val="24"/>
              </w:rPr>
              <w:t>产生的</w:t>
            </w:r>
            <w:r>
              <w:rPr>
                <w:rFonts w:hint="eastAsia"/>
                <w:sz w:val="24"/>
                <w:lang w:val="en-US" w:eastAsia="zh-CN"/>
              </w:rPr>
              <w:t>废水为员工生活污水。</w:t>
            </w:r>
            <w:r>
              <w:rPr>
                <w:rFonts w:hint="eastAsia" w:cs="Times New Roman"/>
                <w:sz w:val="24"/>
                <w:szCs w:val="24"/>
                <w:lang w:val="en-US" w:eastAsia="zh-CN"/>
              </w:rPr>
              <w:t>生活污水经化粪池预处理达标后纳管，最终由嘉兴市联合污水处理有限责任公司污水处理厂处理达《城镇污水处理厂污染物排放标准（GB 18918-2002）一级A标准后集中排放。</w:t>
            </w:r>
          </w:p>
          <w:p>
            <w:pPr>
              <w:widowControl w:val="0"/>
              <w:adjustRightInd w:val="0"/>
              <w:snapToGrid w:val="0"/>
              <w:spacing w:line="360" w:lineRule="auto"/>
              <w:jc w:val="left"/>
              <w:rPr>
                <w:rFonts w:hint="eastAsia"/>
                <w:b/>
                <w:sz w:val="24"/>
              </w:rPr>
            </w:pPr>
            <w:r>
              <w:rPr>
                <w:sz w:val="24"/>
              </w:rPr>
              <mc:AlternateContent>
                <mc:Choice Requires="wpg">
                  <w:drawing>
                    <wp:anchor distT="0" distB="0" distL="114300" distR="114300" simplePos="0" relativeHeight="251659264" behindDoc="0" locked="0" layoutInCell="1" allowOverlap="1">
                      <wp:simplePos x="0" y="0"/>
                      <wp:positionH relativeFrom="column">
                        <wp:posOffset>608330</wp:posOffset>
                      </wp:positionH>
                      <wp:positionV relativeFrom="paragraph">
                        <wp:posOffset>50800</wp:posOffset>
                      </wp:positionV>
                      <wp:extent cx="4447540" cy="497205"/>
                      <wp:effectExtent l="5080" t="0" r="0" b="0"/>
                      <wp:wrapNone/>
                      <wp:docPr id="74" name="组合 74"/>
                      <wp:cNvGraphicFramePr/>
                      <a:graphic xmlns:a="http://schemas.openxmlformats.org/drawingml/2006/main">
                        <a:graphicData uri="http://schemas.microsoft.com/office/word/2010/wordprocessingGroup">
                          <wpg:wgp>
                            <wpg:cNvGrpSpPr/>
                            <wpg:grpSpPr>
                              <a:xfrm>
                                <a:off x="0" y="0"/>
                                <a:ext cx="4447493" cy="497205"/>
                                <a:chOff x="16188" y="68857"/>
                                <a:chExt cx="7195" cy="783"/>
                              </a:xfrm>
                            </wpg:grpSpPr>
                            <wps:wsp>
                              <wps:cNvPr id="65" name="直接箭头连接符 65"/>
                              <wps:cNvCnPr/>
                              <wps:spPr>
                                <a:xfrm flipV="1">
                                  <a:off x="17471" y="69255"/>
                                  <a:ext cx="586" cy="13"/>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67" name="文本框 67"/>
                              <wps:cNvSpPr txBox="1"/>
                              <wps:spPr>
                                <a:xfrm>
                                  <a:off x="16188" y="69023"/>
                                  <a:ext cx="1240" cy="423"/>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生活污水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文本框 68"/>
                              <wps:cNvSpPr txBox="1"/>
                              <wps:spPr>
                                <a:xfrm>
                                  <a:off x="18064" y="69045"/>
                                  <a:ext cx="1623" cy="423"/>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化粪池预处理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0" name="直接箭头连接符 70"/>
                              <wps:cNvCnPr/>
                              <wps:spPr>
                                <a:xfrm flipV="1">
                                  <a:off x="19716" y="69263"/>
                                  <a:ext cx="586" cy="13"/>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71" name="文本框 71"/>
                              <wps:cNvSpPr txBox="1"/>
                              <wps:spPr>
                                <a:xfrm>
                                  <a:off x="20240" y="68857"/>
                                  <a:ext cx="3143" cy="78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经嘉兴市联合污水处理有限责任公司污水处理厂处理达标后集中排放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3" name="文本框 73"/>
                              <wps:cNvSpPr txBox="1"/>
                              <wps:spPr>
                                <a:xfrm>
                                  <a:off x="19702" y="68898"/>
                                  <a:ext cx="626" cy="49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default" w:eastAsia="宋体"/>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7.9pt;margin-top:4pt;height:39.15pt;width:350.2pt;z-index:251659264;mso-width-relative:page;mso-height-relative:page;" coordorigin="16188,68857" coordsize="7195,783" o:gfxdata="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">
                      <o:lock v:ext="edit" aspectratio="f"/>
                      <v:shape id="_x0000_s1026" o:spid="_x0000_s1026" o:spt="32" type="#_x0000_t32" style="position:absolute;left:17471;top:69255;flip:y;height:13;width:586;" filled="f" stroked="t" coordsize="21600,21600" o:gfxdata="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xssb4A&#10;AADbAAAADwAAAAAAAAABACAAAAAiAAAAZHJzL2Rvd25yZXYueG1sUEsBAhQAFAAAAAgAh07iQDMv&#10;BZ47AAAAOQAAABAAAAAAAAAAAQAgAAAADQEAAGRycy9zaGFwZXhtbC54bWxQSwUGAAAAAAYABgBb&#10;AQAAtwMAAAAA&#10;">
                        <v:fill on="f" focussize="0,0"/>
                        <v:stroke color="#000000 [3200]" joinstyle="round" endarrow="block"/>
                        <v:imagedata o:title=""/>
                        <o:lock v:ext="edit" aspectratio="f"/>
                      </v:shape>
                      <v:shape id="_x0000_s1026" o:spid="_x0000_s1026" o:spt="202" type="#_x0000_t202" style="position:absolute;left:16188;top:69023;height:423;width:1240;" filled="f" stroked="t" coordsize="21600,21600" o:gfxdata="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ofse/&#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生活污水</w:t>
                              </w:r>
                            </w:p>
                          </w:txbxContent>
                        </v:textbox>
                      </v:shape>
                      <v:shape id="_x0000_s1026" o:spid="_x0000_s1026" o:spt="202" type="#_x0000_t202" style="position:absolute;left:18064;top:69045;height:423;width:1623;" filled="f" stroked="t" coordsize="21600,21600" o:gfxdata="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fqtbsAAADb&#10;AAAADwAAAAAAAAABACAAAAAiAAAAZHJzL2Rvd25yZXYueG1sUEsBAhQAFAAAAAgAh07iQDMvBZ47&#10;AAAAOQAAABAAAAAAAAAAAQAgAAAACgEAAGRycy9zaGFwZXhtbC54bWxQSwUGAAAAAAYABgBbAQAA&#10;tAMAAAAA&#10;">
                        <v:fill on="f"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化粪池预处理</w:t>
                              </w:r>
                            </w:p>
                          </w:txbxContent>
                        </v:textbox>
                      </v:shape>
                      <v:shape id="_x0000_s1026" o:spid="_x0000_s1026" o:spt="32" type="#_x0000_t32" style="position:absolute;left:19716;top:69263;flip:y;height:13;width:586;" filled="f" stroked="t" coordsize="21600,21600" o:gfxdata="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iJZ9LsAAADb&#10;AAAADwAAAAAAAAABACAAAAAiAAAAZHJzL2Rvd25yZXYueG1sUEsBAhQAFAAAAAgAh07iQDMvBZ47&#10;AAAAOQAAABAAAAAAAAAAAQAgAAAACgEAAGRycy9zaGFwZXhtbC54bWxQSwUGAAAAAAYABgBbAQAA&#10;tAMAAAAA&#10;">
                        <v:fill on="f" focussize="0,0"/>
                        <v:stroke color="#000000 [3200]" joinstyle="round" endarrow="block"/>
                        <v:imagedata o:title=""/>
                        <o:lock v:ext="edit" aspectratio="f"/>
                      </v:shape>
                      <v:shape id="_x0000_s1026" o:spid="_x0000_s1026" o:spt="202" type="#_x0000_t202" style="position:absolute;left:20240;top:68857;height:783;width:3143;" filled="f" stroked="f" coordsize="21600,21600" o:gfxdata="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cJu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lang w:val="en-US" w:eastAsia="zh-CN"/>
                                </w:rPr>
                              </w:pPr>
                              <w:r>
                                <w:rPr>
                                  <w:rFonts w:hint="eastAsia"/>
                                  <w:lang w:val="en-US" w:eastAsia="zh-CN"/>
                                </w:rPr>
                                <w:t>经嘉兴市联合污水处理有限责任公司污水处理厂处理达标后集中排放</w:t>
                              </w:r>
                            </w:p>
                          </w:txbxContent>
                        </v:textbox>
                      </v:shape>
                      <v:shape id="_x0000_s1026" o:spid="_x0000_s1026" o:spt="202" type="#_x0000_t202" style="position:absolute;left:19702;top:68898;height:491;width:626;" filled="f" stroked="f" coordsize="21600,21600" o:gfxdata="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ikyV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lang w:val="en-US" w:eastAsia="zh-CN"/>
                                </w:rPr>
                              </w:pPr>
                              <w:r>
                                <w:rPr>
                                  <w:rFonts w:hint="default" w:eastAsia="宋体"/>
                                  <w:lang w:val="en-US" w:eastAsia="zh-CN"/>
                                </w:rPr>
                                <w:t>★</w:t>
                              </w:r>
                            </w:p>
                          </w:txbxContent>
                        </v:textbox>
                      </v:shape>
                    </v:group>
                  </w:pict>
                </mc:Fallback>
              </mc:AlternateContent>
            </w:r>
          </w:p>
          <w:p>
            <w:pPr>
              <w:pStyle w:val="2"/>
              <w:rPr>
                <w:rFonts w:hint="eastAsia"/>
                <w:b/>
                <w:sz w:val="24"/>
              </w:rPr>
            </w:pPr>
          </w:p>
          <w:p>
            <w:pPr>
              <w:pStyle w:val="31"/>
              <w:ind w:left="0" w:leftChars="0" w:firstLine="0" w:firstLineChars="0"/>
              <w:jc w:val="both"/>
              <w:rPr>
                <w:rFonts w:hint="default" w:ascii="Times New Roman" w:hAnsi="Times New Roman" w:eastAsia="宋体" w:cs="Times New Roman"/>
                <w:b/>
                <w:bCs/>
                <w:sz w:val="21"/>
                <w:szCs w:val="21"/>
              </w:rPr>
            </w:pPr>
          </w:p>
          <w:p>
            <w:pPr>
              <w:pStyle w:val="31"/>
              <w:ind w:left="0" w:leftChars="0" w:firstLine="0" w:firstLineChars="0"/>
              <w:jc w:val="center"/>
              <w:rPr>
                <w:rFonts w:hint="eastAsia"/>
              </w:rPr>
            </w:pPr>
            <w:r>
              <w:rPr>
                <w:rFonts w:hint="default" w:ascii="Times New Roman" w:hAnsi="Times New Roman" w:eastAsia="宋体" w:cs="Times New Roman"/>
                <w:b/>
                <w:bCs/>
                <w:sz w:val="21"/>
                <w:szCs w:val="21"/>
              </w:rPr>
              <w:t>图</w:t>
            </w:r>
            <w:r>
              <w:rPr>
                <w:rFonts w:hint="eastAsia" w:cs="Times New Roman"/>
                <w:b/>
                <w:bCs/>
                <w:sz w:val="21"/>
                <w:szCs w:val="21"/>
                <w:lang w:val="en-US" w:eastAsia="zh-CN"/>
              </w:rPr>
              <w:t>3</w:t>
            </w:r>
            <w:r>
              <w:rPr>
                <w:rFonts w:hint="default" w:ascii="Times New Roman" w:hAnsi="Times New Roman" w:eastAsia="宋体" w:cs="Times New Roman"/>
                <w:b/>
                <w:bCs/>
                <w:sz w:val="21"/>
                <w:szCs w:val="21"/>
              </w:rPr>
              <w:t>-</w:t>
            </w:r>
            <w:r>
              <w:rPr>
                <w:rFonts w:hint="eastAsia" w:cs="Times New Roman"/>
                <w:b/>
                <w:bCs/>
                <w:sz w:val="21"/>
                <w:szCs w:val="21"/>
                <w:lang w:val="en-US" w:eastAsia="zh-CN"/>
              </w:rPr>
              <w:t xml:space="preserve">1 </w:t>
            </w:r>
            <w:r>
              <w:rPr>
                <w:rFonts w:hint="default" w:ascii="Times New Roman" w:hAnsi="Times New Roman" w:cs="Times New Roman"/>
                <w:b/>
                <w:bCs/>
                <w:color w:val="auto"/>
                <w:sz w:val="21"/>
                <w:szCs w:val="21"/>
              </w:rPr>
              <w:t>废水处理流</w:t>
            </w:r>
            <w:r>
              <w:rPr>
                <w:rFonts w:hint="default"/>
                <w:b/>
                <w:bCs/>
                <w:color w:val="auto"/>
                <w:sz w:val="21"/>
                <w:szCs w:val="21"/>
              </w:rPr>
              <w:t>程图及监测点位示意图（★为监测点位）</w:t>
            </w:r>
          </w:p>
          <w:p>
            <w:pPr>
              <w:pStyle w:val="2"/>
              <w:rPr>
                <w:rFonts w:hint="eastAsia"/>
              </w:rPr>
            </w:pPr>
          </w:p>
          <w:p>
            <w:pPr>
              <w:widowControl w:val="0"/>
              <w:adjustRightInd w:val="0"/>
              <w:snapToGrid w:val="0"/>
              <w:spacing w:line="360" w:lineRule="auto"/>
              <w:jc w:val="left"/>
              <w:rPr>
                <w:rFonts w:hint="eastAsia" w:eastAsia="宋体"/>
                <w:b/>
                <w:sz w:val="24"/>
                <w:lang w:eastAsia="zh-CN"/>
              </w:rPr>
            </w:pPr>
            <w:r>
              <w:rPr>
                <w:rFonts w:hint="eastAsia"/>
                <w:b/>
                <w:sz w:val="24"/>
                <w:lang w:eastAsia="zh-CN"/>
              </w:rPr>
              <w:t>二</w:t>
            </w:r>
            <w:r>
              <w:rPr>
                <w:rFonts w:hint="eastAsia"/>
                <w:b/>
                <w:sz w:val="24"/>
              </w:rPr>
              <w:t>、</w:t>
            </w:r>
            <w:r>
              <w:rPr>
                <w:rFonts w:hint="eastAsia"/>
                <w:b/>
                <w:sz w:val="24"/>
                <w:lang w:eastAsia="zh-CN"/>
              </w:rPr>
              <w:t>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sz w:val="24"/>
                <w:lang w:eastAsia="zh-CN"/>
              </w:rPr>
            </w:pPr>
            <w:r>
              <w:rPr>
                <w:rFonts w:hint="eastAsia"/>
                <w:sz w:val="24"/>
                <w:lang w:eastAsia="zh-CN"/>
              </w:rPr>
              <w:t>本</w:t>
            </w:r>
            <w:r>
              <w:rPr>
                <w:rFonts w:hint="eastAsia"/>
                <w:sz w:val="24"/>
              </w:rPr>
              <w:t>项目产生废气主要为抛光粉尘、焊接烟尘、破碎粉尘、焊接有机废气、密封废气、老化废气及注塑废气</w:t>
            </w:r>
            <w:r>
              <w:rPr>
                <w:rFonts w:hint="eastAsia"/>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rPr>
            </w:pPr>
            <w:r>
              <w:rPr>
                <w:rFonts w:hint="eastAsia"/>
                <w:sz w:val="24"/>
                <w:lang w:eastAsia="zh-CN"/>
              </w:rPr>
              <w:t>①</w:t>
            </w:r>
            <w:r>
              <w:rPr>
                <w:rFonts w:hint="eastAsia"/>
                <w:sz w:val="24"/>
                <w:lang w:val="en-US" w:eastAsia="zh-CN"/>
              </w:rPr>
              <w:t xml:space="preserve"> </w:t>
            </w:r>
            <w:r>
              <w:rPr>
                <w:rFonts w:hint="eastAsia"/>
                <w:sz w:val="24"/>
              </w:rPr>
              <w:t>抛光粉尘：本项目使用除尘抛光打磨机、砂轮机对工件各部位进行打磨抛光，会产生少量的粉尘。</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rPr>
            </w:pPr>
            <w:r>
              <w:rPr>
                <w:rFonts w:hint="eastAsia"/>
                <w:sz w:val="24"/>
                <w:lang w:eastAsia="zh-CN"/>
              </w:rPr>
              <w:t>②</w:t>
            </w:r>
            <w:r>
              <w:rPr>
                <w:rFonts w:hint="eastAsia"/>
                <w:sz w:val="24"/>
                <w:lang w:val="en-US" w:eastAsia="zh-CN"/>
              </w:rPr>
              <w:t xml:space="preserve"> </w:t>
            </w:r>
            <w:r>
              <w:rPr>
                <w:rFonts w:hint="eastAsia"/>
                <w:sz w:val="24"/>
              </w:rPr>
              <w:t>焊接烟尘</w:t>
            </w:r>
            <w:r>
              <w:rPr>
                <w:rFonts w:hint="eastAsia"/>
                <w:sz w:val="24"/>
                <w:lang w:eastAsia="zh-CN"/>
              </w:rPr>
              <w:t>、</w:t>
            </w:r>
            <w:r>
              <w:rPr>
                <w:rFonts w:hint="eastAsia"/>
                <w:sz w:val="24"/>
              </w:rPr>
              <w:t>焊接有机废气：</w:t>
            </w:r>
            <w:r>
              <w:rPr>
                <w:rFonts w:hint="eastAsia"/>
                <w:color w:val="auto"/>
                <w:sz w:val="24"/>
              </w:rPr>
              <w:t>本</w:t>
            </w:r>
            <w:r>
              <w:rPr>
                <w:rFonts w:hint="eastAsia"/>
                <w:sz w:val="24"/>
              </w:rPr>
              <w:t>项目</w:t>
            </w:r>
            <w:r>
              <w:rPr>
                <w:rFonts w:hint="eastAsia"/>
                <w:sz w:val="24"/>
                <w:lang w:eastAsia="zh-CN"/>
              </w:rPr>
              <w:t>使用</w:t>
            </w:r>
            <w:r>
              <w:rPr>
                <w:sz w:val="24"/>
              </w:rPr>
              <w:t>焊条</w:t>
            </w:r>
            <w:r>
              <w:rPr>
                <w:rFonts w:hint="eastAsia"/>
                <w:sz w:val="24"/>
              </w:rPr>
              <w:t>、金属焊丝及助焊剂</w:t>
            </w:r>
            <w:r>
              <w:rPr>
                <w:rFonts w:hint="eastAsia"/>
                <w:sz w:val="24"/>
                <w:lang w:eastAsia="zh-CN"/>
              </w:rPr>
              <w:t>过程中，会产生极小量的焊接烟尘及焊接有机废气</w:t>
            </w:r>
            <w:r>
              <w:rPr>
                <w:rFonts w:hint="eastAsia"/>
                <w:sz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sz w:val="24"/>
              </w:rPr>
            </w:pPr>
            <w:r>
              <w:rPr>
                <w:rFonts w:hint="eastAsia"/>
                <w:sz w:val="24"/>
                <w:lang w:eastAsia="zh-CN"/>
              </w:rPr>
              <w:t>③</w:t>
            </w:r>
            <w:r>
              <w:rPr>
                <w:rFonts w:hint="eastAsia"/>
                <w:sz w:val="24"/>
                <w:lang w:val="en-US" w:eastAsia="zh-CN"/>
              </w:rPr>
              <w:t xml:space="preserve"> </w:t>
            </w:r>
            <w:r>
              <w:rPr>
                <w:rFonts w:hint="eastAsia"/>
                <w:sz w:val="24"/>
              </w:rPr>
              <w:t>密封</w:t>
            </w:r>
            <w:r>
              <w:rPr>
                <w:rFonts w:hint="eastAsia"/>
                <w:sz w:val="24"/>
                <w:lang w:val="en-US" w:eastAsia="zh-CN"/>
              </w:rPr>
              <w:t>及老化</w:t>
            </w:r>
            <w:r>
              <w:rPr>
                <w:rFonts w:hint="eastAsia"/>
                <w:sz w:val="24"/>
              </w:rPr>
              <w:t xml:space="preserve">废气：本项目密封工序使用 </w:t>
            </w:r>
            <w:r>
              <w:rPr>
                <w:sz w:val="24"/>
              </w:rPr>
              <w:t xml:space="preserve">AB </w:t>
            </w:r>
            <w:r>
              <w:rPr>
                <w:rFonts w:hint="eastAsia"/>
                <w:sz w:val="24"/>
              </w:rPr>
              <w:t>胶水，密封完成后产品放入老化箱进行老化性能测试（老化温度约80度）。胶水在密封及老化过程中会有一定的挥发性有机物产生。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sz w:val="24"/>
              </w:rPr>
            </w:pPr>
            <w:r>
              <w:rPr>
                <w:rFonts w:hint="eastAsia"/>
                <w:sz w:val="24"/>
                <w:lang w:eastAsia="zh-CN"/>
              </w:rPr>
              <w:t>④</w:t>
            </w:r>
            <w:r>
              <w:rPr>
                <w:rFonts w:hint="eastAsia"/>
                <w:sz w:val="24"/>
                <w:lang w:val="en-US" w:eastAsia="zh-CN"/>
              </w:rPr>
              <w:t xml:space="preserve"> </w:t>
            </w:r>
            <w:r>
              <w:rPr>
                <w:rFonts w:hint="eastAsia"/>
                <w:sz w:val="24"/>
              </w:rPr>
              <w:t>注塑废气：本项目注塑过程中有少量废气挥发出来，废气主要成分为四氟乙烯、六氟丙烯、八氟异丁烯等，产生量较少。</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sz w:val="24"/>
              </w:rPr>
            </w:pPr>
            <w:r>
              <w:rPr>
                <w:rFonts w:hint="eastAsia"/>
                <w:sz w:val="24"/>
                <w:lang w:eastAsia="zh-CN"/>
              </w:rPr>
              <w:t>⑤</w:t>
            </w:r>
            <w:r>
              <w:rPr>
                <w:rFonts w:hint="eastAsia"/>
                <w:sz w:val="24"/>
                <w:lang w:val="en-US" w:eastAsia="zh-CN"/>
              </w:rPr>
              <w:t xml:space="preserve"> </w:t>
            </w:r>
            <w:r>
              <w:rPr>
                <w:rFonts w:hint="eastAsia"/>
                <w:sz w:val="24"/>
              </w:rPr>
              <w:t>破碎粉尘：本项目对注塑后检测不合格产品进行破碎回用，</w:t>
            </w:r>
            <w:r>
              <w:rPr>
                <w:sz w:val="24"/>
              </w:rPr>
              <w:t>破碎机破碎过程中产生的粉尘</w:t>
            </w:r>
            <w:r>
              <w:rPr>
                <w:rFonts w:hint="eastAsia"/>
                <w:sz w:val="24"/>
              </w:rPr>
              <w:t>产生量极小且粉碎机工作空间密闭。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cs="Times New Roman"/>
                <w:sz w:val="24"/>
                <w:lang w:eastAsia="zh-CN"/>
              </w:rPr>
            </w:pPr>
            <w:r>
              <w:rPr>
                <w:rFonts w:hint="eastAsia" w:ascii="Times New Roman" w:hAnsi="Times New Roman" w:cs="Times New Roman"/>
                <w:sz w:val="24"/>
                <w:lang w:eastAsia="zh-CN"/>
              </w:rPr>
              <w:t>本项目</w:t>
            </w:r>
            <w:r>
              <w:rPr>
                <w:rFonts w:hint="eastAsia"/>
                <w:sz w:val="24"/>
              </w:rPr>
              <w:t>抛光粉尘、焊接烟尘、破碎粉尘、焊接有机废气、密封废气、老化废气及注塑废气</w:t>
            </w:r>
            <w:r>
              <w:rPr>
                <w:rFonts w:hint="eastAsia"/>
                <w:sz w:val="24"/>
                <w:lang w:eastAsia="zh-CN"/>
              </w:rPr>
              <w:t>经</w:t>
            </w:r>
            <w:r>
              <w:rPr>
                <w:rFonts w:hint="eastAsia" w:ascii="Times New Roman" w:hAnsi="Times New Roman" w:cs="Times New Roman"/>
                <w:sz w:val="24"/>
                <w:lang w:eastAsia="zh-CN"/>
              </w:rPr>
              <w:t>收集后一并经布袋除尘+两级活性炭吸附处理，处理后通过</w:t>
            </w:r>
            <w:r>
              <w:rPr>
                <w:rFonts w:hint="eastAsia" w:cs="Times New Roman"/>
                <w:sz w:val="24"/>
                <w:lang w:val="en-US" w:eastAsia="zh-CN"/>
              </w:rPr>
              <w:t>15m高</w:t>
            </w:r>
            <w:r>
              <w:rPr>
                <w:rFonts w:hint="eastAsia" w:ascii="Times New Roman" w:hAnsi="Times New Roman" w:cs="Times New Roman"/>
                <w:sz w:val="24"/>
                <w:lang w:eastAsia="zh-CN"/>
              </w:rPr>
              <w:t>排气筒于屋顶高空排放。</w:t>
            </w:r>
          </w:p>
          <w:p>
            <w:pPr>
              <w:pStyle w:val="2"/>
            </w:pPr>
            <w:r>
              <w:drawing>
                <wp:inline distT="0" distB="0" distL="114300" distR="114300">
                  <wp:extent cx="5482590" cy="2408555"/>
                  <wp:effectExtent l="0" t="0" r="3810" b="1079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4"/>
                          <a:stretch>
                            <a:fillRect/>
                          </a:stretch>
                        </pic:blipFill>
                        <pic:spPr>
                          <a:xfrm>
                            <a:off x="0" y="0"/>
                            <a:ext cx="5482590" cy="2408555"/>
                          </a:xfrm>
                          <a:prstGeom prst="rect">
                            <a:avLst/>
                          </a:prstGeom>
                          <a:noFill/>
                          <a:ln>
                            <a:noFill/>
                          </a:ln>
                        </pic:spPr>
                      </pic:pic>
                    </a:graphicData>
                  </a:graphic>
                </wp:inline>
              </w:drawing>
            </w:r>
          </w:p>
          <w:p>
            <w:pPr>
              <w:pStyle w:val="3"/>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图3-2</w:t>
            </w:r>
            <w:r>
              <w:rPr>
                <w:rFonts w:hint="eastAsia" w:ascii="Times New Roman" w:hAnsi="Times New Roman" w:eastAsia="宋体" w:cs="Times New Roman"/>
                <w:b/>
                <w:bCs/>
                <w:kern w:val="2"/>
                <w:sz w:val="21"/>
                <w:szCs w:val="21"/>
                <w:lang w:val="en-US" w:eastAsia="zh-CN" w:bidi="ar-SA"/>
              </w:rPr>
              <w:t xml:space="preserve"> 废气</w:t>
            </w:r>
            <w:r>
              <w:rPr>
                <w:rFonts w:hint="default" w:ascii="Times New Roman" w:hAnsi="Times New Roman" w:eastAsia="宋体" w:cs="Times New Roman"/>
                <w:b/>
                <w:bCs/>
                <w:kern w:val="2"/>
                <w:sz w:val="21"/>
                <w:szCs w:val="21"/>
                <w:lang w:val="en-US" w:eastAsia="zh-CN" w:bidi="ar-SA"/>
              </w:rPr>
              <w:t>测点示意图</w:t>
            </w:r>
            <w:r>
              <w:rPr>
                <w:rFonts w:hint="eastAsia" w:ascii="Times New Roman" w:hAnsi="Times New Roman" w:eastAsia="宋体" w:cs="Times New Roman"/>
                <w:b/>
                <w:bCs/>
                <w:kern w:val="2"/>
                <w:sz w:val="21"/>
                <w:szCs w:val="21"/>
                <w:lang w:val="en-US" w:eastAsia="zh-CN" w:bidi="ar-SA"/>
              </w:rPr>
              <w:t>（◎为监测点位）</w:t>
            </w:r>
          </w:p>
          <w:p>
            <w:pPr>
              <w:rPr>
                <w:rFonts w:hint="eastAsia"/>
                <w:lang w:eastAsia="zh-CN"/>
              </w:rPr>
            </w:pPr>
          </w:p>
          <w:p>
            <w:pPr>
              <w:widowControl w:val="0"/>
              <w:adjustRightInd w:val="0"/>
              <w:snapToGrid w:val="0"/>
              <w:spacing w:line="360" w:lineRule="auto"/>
              <w:jc w:val="left"/>
              <w:rPr>
                <w:b/>
                <w:sz w:val="24"/>
              </w:rPr>
            </w:pPr>
            <w:r>
              <w:rPr>
                <w:rFonts w:hint="eastAsia"/>
                <w:b/>
                <w:sz w:val="24"/>
                <w:lang w:eastAsia="zh-CN"/>
              </w:rPr>
              <w:t>三、</w:t>
            </w:r>
            <w:r>
              <w:rPr>
                <w:rFonts w:hint="eastAsia"/>
                <w:b/>
                <w:sz w:val="24"/>
              </w:rPr>
              <w:t>噪声</w:t>
            </w:r>
          </w:p>
          <w:p>
            <w:pPr>
              <w:widowControl w:val="0"/>
              <w:adjustRightInd w:val="0"/>
              <w:snapToGrid w:val="0"/>
              <w:spacing w:line="360" w:lineRule="auto"/>
              <w:ind w:firstLine="480" w:firstLineChars="200"/>
              <w:jc w:val="left"/>
              <w:rPr>
                <w:rFonts w:hint="eastAsia"/>
                <w:sz w:val="24"/>
              </w:rPr>
            </w:pPr>
            <w:r>
              <w:rPr>
                <w:sz w:val="24"/>
              </w:rPr>
              <w:t>本项目噪声主要来自于各类</w:t>
            </w:r>
            <w:r>
              <w:rPr>
                <w:rFonts w:hint="eastAsia"/>
                <w:sz w:val="24"/>
              </w:rPr>
              <w:t>生产</w:t>
            </w:r>
            <w:r>
              <w:rPr>
                <w:sz w:val="24"/>
              </w:rPr>
              <w:t>设备产生的机械噪声</w:t>
            </w:r>
            <w:r>
              <w:rPr>
                <w:rFonts w:hint="eastAsia"/>
                <w:sz w:val="24"/>
              </w:rPr>
              <w:t>。</w:t>
            </w:r>
          </w:p>
          <w:p>
            <w:pPr>
              <w:widowControl w:val="0"/>
              <w:adjustRightInd w:val="0"/>
              <w:snapToGrid w:val="0"/>
              <w:spacing w:line="360" w:lineRule="auto"/>
              <w:ind w:firstLine="480" w:firstLineChars="200"/>
              <w:jc w:val="left"/>
              <w:rPr>
                <w:rFonts w:hint="eastAsia"/>
                <w:b/>
                <w:sz w:val="24"/>
              </w:rPr>
            </w:pPr>
            <w:r>
              <w:rPr>
                <w:rFonts w:hint="eastAsia" w:ascii="Times New Roman" w:hAnsi="Times New Roman" w:cs="Times New Roman"/>
                <w:sz w:val="24"/>
                <w:szCs w:val="24"/>
                <w:highlight w:val="none"/>
                <w:lang w:val="en-US" w:eastAsia="zh-CN"/>
              </w:rPr>
              <w:t>本项目</w:t>
            </w:r>
            <w:r>
              <w:rPr>
                <w:rFonts w:hint="eastAsia"/>
                <w:sz w:val="24"/>
                <w:szCs w:val="24"/>
                <w:lang w:val="en-US" w:eastAsia="zh-CN"/>
              </w:rPr>
              <w:t>通过设备选型时尽量选用噪声较小的设备；对高噪声设备采用减振、隔声措施，加固基础，增设减震垫；生产时尽量少开启门窗，采用换气扇进行通风换气；选用性能好的减振材料和隔振器等措施来达到降噪效果。</w:t>
            </w:r>
          </w:p>
          <w:p>
            <w:pPr>
              <w:widowControl w:val="0"/>
              <w:adjustRightInd w:val="0"/>
              <w:snapToGrid w:val="0"/>
              <w:spacing w:line="360" w:lineRule="auto"/>
              <w:jc w:val="left"/>
              <w:rPr>
                <w:rFonts w:hint="eastAsia"/>
                <w:b/>
                <w:sz w:val="24"/>
              </w:rPr>
            </w:pPr>
          </w:p>
          <w:p>
            <w:pPr>
              <w:widowControl w:val="0"/>
              <w:adjustRightInd w:val="0"/>
              <w:snapToGrid w:val="0"/>
              <w:spacing w:line="360" w:lineRule="auto"/>
              <w:jc w:val="left"/>
              <w:rPr>
                <w:b/>
                <w:sz w:val="24"/>
              </w:rPr>
            </w:pPr>
            <w:r>
              <w:rPr>
                <w:rFonts w:hint="eastAsia"/>
                <w:b/>
                <w:sz w:val="24"/>
                <w:lang w:eastAsia="zh-CN"/>
              </w:rPr>
              <w:t>四</w:t>
            </w:r>
            <w:r>
              <w:rPr>
                <w:rFonts w:hint="eastAsia"/>
                <w:b/>
                <w:sz w:val="24"/>
              </w:rPr>
              <w:t>、固体废物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kern w:val="2"/>
                <w:sz w:val="21"/>
                <w:szCs w:val="21"/>
                <w:lang w:val="en-US" w:eastAsia="zh-CN" w:bidi="ar-SA"/>
              </w:rPr>
            </w:pPr>
            <w:r>
              <w:rPr>
                <w:rFonts w:hint="eastAsia"/>
                <w:sz w:val="24"/>
                <w:szCs w:val="24"/>
                <w:shd w:val="clear" w:color="auto" w:fill="FFFFFF"/>
                <w:lang w:eastAsia="zh-CN"/>
              </w:rPr>
              <w:t>本</w:t>
            </w:r>
            <w:r>
              <w:rPr>
                <w:rFonts w:hint="eastAsia"/>
                <w:sz w:val="24"/>
                <w:szCs w:val="24"/>
                <w:shd w:val="clear" w:color="auto" w:fill="FFFFFF"/>
              </w:rPr>
              <w:t>项目产生的固废主要为一般废包装材料、边角料、废润滑油、废润滑油包装桶、含油抹布、收集尘、废活性炭、超声波清洗滤渣以及职工生活垃圾</w:t>
            </w:r>
            <w:r>
              <w:rPr>
                <w:rFonts w:hint="eastAsia"/>
                <w:sz w:val="24"/>
                <w:szCs w:val="32"/>
                <w:lang w:val="en-US" w:eastAsia="zh-CN"/>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具体情况见表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eastAsia"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表3-</w:t>
            </w:r>
            <w:r>
              <w:rPr>
                <w:rFonts w:hint="eastAsia" w:cs="Times New Roman"/>
                <w:b/>
                <w:bCs/>
                <w:kern w:val="2"/>
                <w:sz w:val="21"/>
                <w:szCs w:val="21"/>
                <w:lang w:val="en-US" w:eastAsia="zh-CN" w:bidi="ar-SA"/>
              </w:rPr>
              <w:t xml:space="preserve">1 </w:t>
            </w:r>
            <w:r>
              <w:rPr>
                <w:rFonts w:hint="default" w:ascii="Times New Roman" w:hAnsi="Times New Roman" w:eastAsia="宋体" w:cs="Times New Roman"/>
                <w:b/>
                <w:bCs/>
                <w:kern w:val="2"/>
                <w:sz w:val="21"/>
                <w:szCs w:val="21"/>
                <w:lang w:val="en-US" w:eastAsia="zh-CN" w:bidi="ar-SA"/>
              </w:rPr>
              <w:t>固体废物分析结果汇总表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0"/>
              <w:gridCol w:w="1732"/>
              <w:gridCol w:w="1814"/>
              <w:gridCol w:w="1091"/>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100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固废名称</w:t>
                  </w:r>
                </w:p>
              </w:tc>
              <w:tc>
                <w:tcPr>
                  <w:tcW w:w="10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产生工序</w:t>
                  </w:r>
                </w:p>
              </w:tc>
              <w:tc>
                <w:tcPr>
                  <w:tcW w:w="63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属性</w:t>
                  </w:r>
                </w:p>
              </w:tc>
              <w:tc>
                <w:tcPr>
                  <w:tcW w:w="176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处理情况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w:t>
                  </w:r>
                </w:p>
              </w:tc>
              <w:tc>
                <w:tcPr>
                  <w:tcW w:w="1003"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lang w:eastAsia="zh-CN"/>
                    </w:rPr>
                    <w:t>废</w:t>
                  </w:r>
                  <w:r>
                    <w:rPr>
                      <w:b w:val="0"/>
                      <w:bCs w:val="0"/>
                      <w:szCs w:val="21"/>
                    </w:rPr>
                    <w:t>包装材料</w:t>
                  </w:r>
                </w:p>
              </w:tc>
              <w:tc>
                <w:tcPr>
                  <w:tcW w:w="1051"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lang w:eastAsia="zh-CN"/>
                    </w:rPr>
                    <w:t>原料拆包</w:t>
                  </w:r>
                </w:p>
              </w:tc>
              <w:tc>
                <w:tcPr>
                  <w:tcW w:w="632" w:type="pct"/>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176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sz w:val="21"/>
                      <w:szCs w:val="21"/>
                      <w:lang w:val="en-US" w:eastAsia="zh-CN"/>
                    </w:rPr>
                  </w:pPr>
                  <w:r>
                    <w:rPr>
                      <w:kern w:val="0"/>
                      <w:szCs w:val="21"/>
                    </w:rPr>
                    <w:t>收集后由物资公司回收综合利用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50" w:type="pct"/>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w:t>
                  </w:r>
                </w:p>
              </w:tc>
              <w:tc>
                <w:tcPr>
                  <w:tcW w:w="1003"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b w:val="0"/>
                      <w:bCs w:val="0"/>
                      <w:szCs w:val="21"/>
                    </w:rPr>
                    <w:t>边角料</w:t>
                  </w:r>
                </w:p>
              </w:tc>
              <w:tc>
                <w:tcPr>
                  <w:tcW w:w="1051"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裁剪、剥皮</w:t>
                  </w:r>
                </w:p>
              </w:tc>
              <w:tc>
                <w:tcPr>
                  <w:tcW w:w="632" w:type="pct"/>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176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50" w:type="pct"/>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w:t>
                  </w:r>
                </w:p>
              </w:tc>
              <w:tc>
                <w:tcPr>
                  <w:tcW w:w="1003"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收集尘</w:t>
                  </w:r>
                </w:p>
              </w:tc>
              <w:tc>
                <w:tcPr>
                  <w:tcW w:w="1051"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lang w:eastAsia="zh-CN"/>
                    </w:rPr>
                    <w:t>废气处理</w:t>
                  </w:r>
                </w:p>
              </w:tc>
              <w:tc>
                <w:tcPr>
                  <w:tcW w:w="632" w:type="pct"/>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176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w:t>
                  </w:r>
                </w:p>
              </w:tc>
              <w:tc>
                <w:tcPr>
                  <w:tcW w:w="1003"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b w:val="0"/>
                      <w:bCs w:val="0"/>
                      <w:szCs w:val="21"/>
                    </w:rPr>
                    <w:t>废</w:t>
                  </w:r>
                  <w:r>
                    <w:rPr>
                      <w:rFonts w:hint="eastAsia"/>
                      <w:b w:val="0"/>
                      <w:bCs w:val="0"/>
                      <w:szCs w:val="21"/>
                    </w:rPr>
                    <w:t>润滑油</w:t>
                  </w:r>
                </w:p>
              </w:tc>
              <w:tc>
                <w:tcPr>
                  <w:tcW w:w="1051"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设备润滑</w:t>
                  </w:r>
                </w:p>
              </w:tc>
              <w:tc>
                <w:tcPr>
                  <w:tcW w:w="632" w:type="pct"/>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176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z w:val="21"/>
                      <w:szCs w:val="21"/>
                      <w:lang w:val="en-US" w:eastAsia="zh-CN"/>
                    </w:rPr>
                  </w:pPr>
                  <w:r>
                    <w:rPr>
                      <w:szCs w:val="21"/>
                    </w:rPr>
                    <w:t>委托</w:t>
                  </w:r>
                  <w:r>
                    <w:rPr>
                      <w:rFonts w:hint="eastAsia"/>
                      <w:color w:val="auto"/>
                      <w:szCs w:val="21"/>
                      <w:lang w:eastAsia="zh-CN"/>
                    </w:rPr>
                    <w:t>丽水市民康医疗废物处理有限公司</w:t>
                  </w:r>
                  <w:r>
                    <w:rPr>
                      <w:szCs w:val="21"/>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b w:val="0"/>
                      <w:bCs w:val="0"/>
                      <w:szCs w:val="21"/>
                    </w:rPr>
                    <w:t>废</w:t>
                  </w:r>
                  <w:r>
                    <w:rPr>
                      <w:rFonts w:hint="eastAsia"/>
                      <w:b w:val="0"/>
                      <w:bCs w:val="0"/>
                      <w:szCs w:val="21"/>
                    </w:rPr>
                    <w:t>润滑油</w:t>
                  </w:r>
                  <w:r>
                    <w:rPr>
                      <w:b w:val="0"/>
                      <w:bCs w:val="0"/>
                      <w:szCs w:val="21"/>
                    </w:rPr>
                    <w:t>包装桶</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b w:val="0"/>
                      <w:bCs w:val="0"/>
                      <w:szCs w:val="21"/>
                    </w:rPr>
                    <w:t>原料使用</w:t>
                  </w:r>
                </w:p>
              </w:tc>
              <w:tc>
                <w:tcPr>
                  <w:tcW w:w="0" w:type="auto"/>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1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含油抹布</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设备维护</w:t>
                  </w:r>
                </w:p>
              </w:tc>
              <w:tc>
                <w:tcPr>
                  <w:tcW w:w="0" w:type="auto"/>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1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7</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废活性炭</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废气处理</w:t>
                  </w:r>
                </w:p>
              </w:tc>
              <w:tc>
                <w:tcPr>
                  <w:tcW w:w="0" w:type="auto"/>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1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8</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滤渣</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超声波清洗</w:t>
                  </w:r>
                </w:p>
              </w:tc>
              <w:tc>
                <w:tcPr>
                  <w:tcW w:w="0" w:type="auto"/>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176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9</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b w:val="0"/>
                      <w:bCs w:val="0"/>
                      <w:szCs w:val="21"/>
                    </w:rPr>
                    <w:t>生活垃圾</w:t>
                  </w:r>
                </w:p>
              </w:tc>
              <w:tc>
                <w:tcPr>
                  <w:tcW w:w="0" w:type="auto"/>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b w:val="0"/>
                      <w:bCs w:val="0"/>
                      <w:szCs w:val="21"/>
                    </w:rPr>
                    <w:t>员工办公</w:t>
                  </w:r>
                </w:p>
              </w:tc>
              <w:tc>
                <w:tcPr>
                  <w:tcW w:w="0" w:type="auto"/>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1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z w:val="21"/>
                      <w:szCs w:val="21"/>
                      <w:lang w:val="en-US" w:eastAsia="zh-CN"/>
                    </w:rPr>
                  </w:pPr>
                </w:p>
              </w:tc>
            </w:tr>
          </w:tbl>
          <w:p>
            <w:pPr>
              <w:pStyle w:val="2"/>
              <w:rPr>
                <w:rFonts w:hint="default"/>
                <w:lang w:val="en-US" w:eastAsia="zh-CN"/>
              </w:rPr>
            </w:pPr>
          </w:p>
          <w:p>
            <w:pPr>
              <w:widowControl w:val="0"/>
              <w:adjustRightInd w:val="0"/>
              <w:snapToGrid w:val="0"/>
              <w:spacing w:line="360" w:lineRule="auto"/>
              <w:jc w:val="left"/>
              <w:rPr>
                <w:b/>
                <w:color w:val="000000" w:themeColor="text1"/>
                <w:sz w:val="24"/>
                <w14:textFill>
                  <w14:solidFill>
                    <w14:schemeClr w14:val="tx1"/>
                  </w14:solidFill>
                </w14:textFill>
              </w:rPr>
            </w:pPr>
            <w:bookmarkStart w:id="17" w:name="_Toc24776"/>
            <w:r>
              <w:rPr>
                <w:rFonts w:hint="eastAsia"/>
                <w:b/>
                <w:color w:val="000000" w:themeColor="text1"/>
                <w:sz w:val="24"/>
                <w:lang w:eastAsia="zh-CN"/>
                <w14:textFill>
                  <w14:solidFill>
                    <w14:schemeClr w14:val="tx1"/>
                  </w14:solidFill>
                </w14:textFill>
              </w:rPr>
              <w:t>五</w:t>
            </w:r>
            <w:r>
              <w:rPr>
                <w:b/>
                <w:color w:val="000000" w:themeColor="text1"/>
                <w:sz w:val="24"/>
                <w14:textFill>
                  <w14:solidFill>
                    <w14:schemeClr w14:val="tx1"/>
                  </w14:solidFill>
                </w14:textFill>
              </w:rPr>
              <w:t>、</w:t>
            </w:r>
            <w:r>
              <w:rPr>
                <w:rFonts w:hint="eastAsia"/>
                <w:b/>
                <w:color w:val="000000" w:themeColor="text1"/>
                <w:sz w:val="24"/>
                <w14:textFill>
                  <w14:solidFill>
                    <w14:schemeClr w14:val="tx1"/>
                  </w14:solidFill>
                </w14:textFill>
              </w:rPr>
              <w:t>环保设施投资情况</w:t>
            </w:r>
          </w:p>
          <w:p>
            <w:pPr>
              <w:widowControl w:val="0"/>
              <w:adjustRightInd w:val="0"/>
              <w:snapToGrid w:val="0"/>
              <w:spacing w:line="360" w:lineRule="auto"/>
              <w:ind w:firstLine="480" w:firstLineChars="200"/>
              <w:jc w:val="left"/>
              <w:rPr>
                <w:rFonts w:hint="default" w:eastAsia="宋体"/>
                <w:color w:val="000000" w:themeColor="text1"/>
                <w:sz w:val="24"/>
                <w:szCs w:val="24"/>
                <w:lang w:val="en-US" w:eastAsia="zh-CN"/>
                <w14:textFill>
                  <w14:solidFill>
                    <w14:schemeClr w14:val="tx1"/>
                  </w14:solidFill>
                </w14:textFill>
              </w:rPr>
            </w:pPr>
            <w:r>
              <w:rPr>
                <w:rFonts w:hint="eastAsia"/>
                <w:snapToGrid w:val="0"/>
                <w:color w:val="000000" w:themeColor="text1"/>
                <w:kern w:val="0"/>
                <w:sz w:val="24"/>
                <w14:textFill>
                  <w14:solidFill>
                    <w14:schemeClr w14:val="tx1"/>
                  </w14:solidFill>
                </w14:textFill>
              </w:rPr>
              <w:t>本项目</w:t>
            </w:r>
            <w:r>
              <w:rPr>
                <w:rFonts w:hint="eastAsia"/>
                <w:color w:val="auto"/>
                <w:sz w:val="24"/>
                <w:szCs w:val="24"/>
              </w:rPr>
              <w:t>实际总投资</w:t>
            </w:r>
            <w:r>
              <w:rPr>
                <w:rFonts w:hint="eastAsia"/>
                <w:color w:val="auto"/>
                <w:sz w:val="24"/>
                <w:szCs w:val="24"/>
                <w:lang w:val="en-US" w:eastAsia="zh-CN"/>
              </w:rPr>
              <w:t>2500</w:t>
            </w:r>
            <w:r>
              <w:rPr>
                <w:rFonts w:hint="eastAsia"/>
                <w:color w:val="auto"/>
                <w:sz w:val="24"/>
                <w:szCs w:val="24"/>
              </w:rPr>
              <w:t>万元，其中环保投资</w:t>
            </w:r>
            <w:r>
              <w:rPr>
                <w:rFonts w:hint="eastAsia"/>
                <w:color w:val="auto"/>
                <w:sz w:val="24"/>
                <w:szCs w:val="24"/>
                <w:lang w:val="en-US" w:eastAsia="zh-CN"/>
              </w:rPr>
              <w:t>40</w:t>
            </w:r>
            <w:r>
              <w:rPr>
                <w:rFonts w:hint="eastAsia"/>
                <w:color w:val="auto"/>
                <w:sz w:val="24"/>
                <w:szCs w:val="24"/>
              </w:rPr>
              <w:t>万元，环保投资占总投资比例的</w:t>
            </w:r>
            <w:r>
              <w:rPr>
                <w:rFonts w:hint="eastAsia"/>
                <w:color w:val="auto"/>
                <w:sz w:val="24"/>
                <w:szCs w:val="24"/>
                <w:lang w:val="en-US" w:eastAsia="zh-CN"/>
              </w:rPr>
              <w:t>1.6</w:t>
            </w:r>
            <w:r>
              <w:rPr>
                <w:rFonts w:hint="eastAsia"/>
                <w:color w:val="auto"/>
                <w:sz w:val="24"/>
                <w:szCs w:val="24"/>
              </w:rPr>
              <w:t>%</w:t>
            </w:r>
            <w:r>
              <w:rPr>
                <w:color w:val="auto"/>
                <w:sz w:val="24"/>
                <w:szCs w:val="24"/>
              </w:rPr>
              <w:t>。</w:t>
            </w:r>
            <w:r>
              <w:rPr>
                <w:rFonts w:hint="eastAsia"/>
                <w:snapToGrid w:val="0"/>
                <w:color w:val="000000" w:themeColor="text1"/>
                <w:kern w:val="0"/>
                <w:sz w:val="24"/>
                <w14:textFill>
                  <w14:solidFill>
                    <w14:schemeClr w14:val="tx1"/>
                  </w14:solidFill>
                </w14:textFill>
              </w:rPr>
              <w:t>本项目</w:t>
            </w:r>
            <w:r>
              <w:rPr>
                <w:color w:val="000000" w:themeColor="text1"/>
                <w:sz w:val="24"/>
                <w:szCs w:val="24"/>
                <w14:textFill>
                  <w14:solidFill>
                    <w14:schemeClr w14:val="tx1"/>
                  </w14:solidFill>
                </w14:textFill>
              </w:rPr>
              <w:t>执行了生产设施与环保设施</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同时设计，同时施工，同时投产</w:t>
            </w:r>
            <w:r>
              <w:rPr>
                <w:rFonts w:hint="eastAsia"/>
                <w:color w:val="000000" w:themeColor="text1"/>
                <w:sz w:val="24"/>
                <w:szCs w:val="24"/>
                <w:lang w:eastAsia="zh-CN"/>
                <w14:textFill>
                  <w14:solidFill>
                    <w14:schemeClr w14:val="tx1"/>
                  </w14:solidFill>
                </w14:textFill>
              </w:rPr>
              <w:t>”</w:t>
            </w:r>
            <w:r>
              <w:rPr>
                <w:color w:val="000000" w:themeColor="text1"/>
                <w:sz w:val="24"/>
                <w:szCs w:val="24"/>
                <w14:textFill>
                  <w14:solidFill>
                    <w14:schemeClr w14:val="tx1"/>
                  </w14:solidFill>
                </w14:textFill>
              </w:rPr>
              <w:t>三同时制度。</w:t>
            </w:r>
            <w:bookmarkEnd w:id="17"/>
            <w:r>
              <w:rPr>
                <w:rFonts w:hint="eastAsia"/>
                <w:color w:val="000000" w:themeColor="text1"/>
                <w:sz w:val="24"/>
                <w:szCs w:val="24"/>
                <w14:textFill>
                  <w14:solidFill>
                    <w14:schemeClr w14:val="tx1"/>
                  </w14:solidFill>
                </w14:textFill>
              </w:rPr>
              <w:t>环保投资情况一览表</w:t>
            </w:r>
            <w:r>
              <w:rPr>
                <w:rFonts w:hint="eastAsia"/>
                <w:color w:val="000000" w:themeColor="text1"/>
                <w:sz w:val="24"/>
                <w:szCs w:val="24"/>
                <w:lang w:eastAsia="zh-CN"/>
                <w14:textFill>
                  <w14:solidFill>
                    <w14:schemeClr w14:val="tx1"/>
                  </w14:solidFill>
                </w14:textFill>
              </w:rPr>
              <w:t>见表</w:t>
            </w:r>
            <w:r>
              <w:rPr>
                <w:rFonts w:hint="eastAsia"/>
                <w:color w:val="000000" w:themeColor="text1"/>
                <w:sz w:val="24"/>
                <w:szCs w:val="24"/>
                <w:lang w:val="en-US" w:eastAsia="zh-CN"/>
                <w14:textFill>
                  <w14:solidFill>
                    <w14:schemeClr w14:val="tx1"/>
                  </w14:solidFill>
                </w14:textFill>
              </w:rPr>
              <w:t>3-2。</w:t>
            </w:r>
          </w:p>
          <w:p>
            <w:pPr>
              <w:adjustRightInd w:val="0"/>
              <w:snapToGrid w:val="0"/>
              <w:spacing w:line="360" w:lineRule="auto"/>
              <w:jc w:val="center"/>
              <w:rPr>
                <w:sz w:val="24"/>
                <w:szCs w:val="24"/>
              </w:rPr>
            </w:pPr>
            <w:r>
              <w:rPr>
                <w:rFonts w:hint="eastAsia" w:ascii="Times New Roman" w:hAnsi="Times New Roman" w:eastAsia="宋体" w:cs="Times New Roman"/>
                <w:b/>
                <w:bCs/>
                <w:kern w:val="2"/>
                <w:sz w:val="21"/>
                <w:szCs w:val="20"/>
                <w:lang w:val="en-US" w:eastAsia="zh-CN" w:bidi="ar-SA"/>
              </w:rPr>
              <w:t>表3-</w:t>
            </w:r>
            <w:r>
              <w:rPr>
                <w:rFonts w:hint="eastAsia" w:cs="Times New Roman"/>
                <w:b/>
                <w:bCs/>
                <w:kern w:val="2"/>
                <w:sz w:val="21"/>
                <w:szCs w:val="20"/>
                <w:lang w:val="en-US" w:eastAsia="zh-CN" w:bidi="ar-SA"/>
              </w:rPr>
              <w:t>2</w:t>
            </w:r>
            <w:r>
              <w:rPr>
                <w:rFonts w:hint="eastAsia" w:ascii="Times New Roman" w:hAnsi="Times New Roman" w:eastAsia="宋体" w:cs="Times New Roman"/>
                <w:b/>
                <w:bCs/>
                <w:kern w:val="2"/>
                <w:sz w:val="21"/>
                <w:szCs w:val="20"/>
                <w:lang w:val="en-US" w:eastAsia="zh-CN" w:bidi="ar-SA"/>
              </w:rPr>
              <w:t xml:space="preserve">  环保投资情况一览表</w:t>
            </w:r>
          </w:p>
          <w:tbl>
            <w:tblPr>
              <w:tblStyle w:val="32"/>
              <w:tblpPr w:leftFromText="180" w:rightFromText="180" w:vertAnchor="text" w:tblpXSpec="center"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1"/>
              <w:gridCol w:w="1189"/>
              <w:gridCol w:w="4898"/>
              <w:gridCol w:w="1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781" w:type="dxa"/>
                  <w:noWrap w:val="0"/>
                  <w:vAlign w:val="center"/>
                </w:tcPr>
                <w:p>
                  <w:pPr>
                    <w:spacing w:line="240" w:lineRule="atLeast"/>
                    <w:jc w:val="center"/>
                    <w:rPr>
                      <w:rFonts w:eastAsia="宋体"/>
                      <w:color w:val="000000"/>
                      <w:sz w:val="21"/>
                      <w:szCs w:val="21"/>
                    </w:rPr>
                  </w:pPr>
                  <w:r>
                    <w:rPr>
                      <w:rFonts w:hAnsi="宋体" w:eastAsia="宋体"/>
                      <w:color w:val="000000"/>
                      <w:sz w:val="21"/>
                      <w:szCs w:val="21"/>
                    </w:rPr>
                    <w:t>序号</w:t>
                  </w:r>
                </w:p>
              </w:tc>
              <w:tc>
                <w:tcPr>
                  <w:tcW w:w="1189" w:type="dxa"/>
                  <w:noWrap w:val="0"/>
                  <w:vAlign w:val="center"/>
                </w:tcPr>
                <w:p>
                  <w:pPr>
                    <w:spacing w:line="240" w:lineRule="atLeast"/>
                    <w:jc w:val="center"/>
                    <w:rPr>
                      <w:rFonts w:eastAsia="宋体"/>
                      <w:color w:val="000000"/>
                      <w:sz w:val="21"/>
                      <w:szCs w:val="21"/>
                    </w:rPr>
                  </w:pPr>
                  <w:r>
                    <w:rPr>
                      <w:rFonts w:hAnsi="宋体" w:eastAsia="宋体"/>
                      <w:color w:val="000000"/>
                      <w:sz w:val="21"/>
                      <w:szCs w:val="21"/>
                    </w:rPr>
                    <w:t>分类</w:t>
                  </w:r>
                </w:p>
              </w:tc>
              <w:tc>
                <w:tcPr>
                  <w:tcW w:w="4898" w:type="dxa"/>
                  <w:noWrap w:val="0"/>
                  <w:vAlign w:val="center"/>
                </w:tcPr>
                <w:p>
                  <w:pPr>
                    <w:spacing w:line="240" w:lineRule="atLeast"/>
                    <w:jc w:val="center"/>
                    <w:rPr>
                      <w:rFonts w:eastAsia="宋体"/>
                      <w:color w:val="000000"/>
                      <w:sz w:val="21"/>
                      <w:szCs w:val="21"/>
                    </w:rPr>
                  </w:pPr>
                  <w:r>
                    <w:rPr>
                      <w:rFonts w:hAnsi="宋体" w:eastAsia="宋体"/>
                      <w:color w:val="000000"/>
                      <w:sz w:val="21"/>
                      <w:szCs w:val="21"/>
                    </w:rPr>
                    <w:t>治理措施</w:t>
                  </w:r>
                </w:p>
              </w:tc>
              <w:tc>
                <w:tcPr>
                  <w:tcW w:w="1762" w:type="dxa"/>
                  <w:noWrap w:val="0"/>
                  <w:vAlign w:val="center"/>
                </w:tcPr>
                <w:p>
                  <w:pPr>
                    <w:spacing w:line="240" w:lineRule="atLeast"/>
                    <w:jc w:val="center"/>
                    <w:rPr>
                      <w:rFonts w:eastAsia="宋体"/>
                      <w:color w:val="auto"/>
                      <w:sz w:val="21"/>
                      <w:szCs w:val="21"/>
                    </w:rPr>
                  </w:pPr>
                  <w:r>
                    <w:rPr>
                      <w:rFonts w:hAnsi="宋体" w:eastAsia="宋体"/>
                      <w:color w:val="auto"/>
                      <w:sz w:val="21"/>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781" w:type="dxa"/>
                  <w:noWrap w:val="0"/>
                  <w:vAlign w:val="center"/>
                </w:tcPr>
                <w:p>
                  <w:pPr>
                    <w:spacing w:line="240" w:lineRule="atLeast"/>
                    <w:jc w:val="center"/>
                    <w:rPr>
                      <w:rFonts w:eastAsia="宋体"/>
                      <w:color w:val="000000"/>
                      <w:sz w:val="21"/>
                      <w:szCs w:val="21"/>
                    </w:rPr>
                  </w:pPr>
                  <w:r>
                    <w:rPr>
                      <w:rFonts w:eastAsia="宋体"/>
                      <w:color w:val="000000"/>
                      <w:sz w:val="21"/>
                      <w:szCs w:val="21"/>
                    </w:rPr>
                    <w:t>1</w:t>
                  </w:r>
                </w:p>
              </w:tc>
              <w:tc>
                <w:tcPr>
                  <w:tcW w:w="1189" w:type="dxa"/>
                  <w:noWrap w:val="0"/>
                  <w:vAlign w:val="center"/>
                </w:tcPr>
                <w:p>
                  <w:pPr>
                    <w:spacing w:line="240" w:lineRule="atLeast"/>
                    <w:jc w:val="center"/>
                    <w:rPr>
                      <w:rFonts w:eastAsia="宋体"/>
                      <w:color w:val="000000"/>
                      <w:sz w:val="21"/>
                      <w:szCs w:val="21"/>
                    </w:rPr>
                  </w:pPr>
                  <w:r>
                    <w:rPr>
                      <w:rFonts w:hAnsi="宋体" w:eastAsia="宋体"/>
                      <w:color w:val="000000"/>
                      <w:sz w:val="21"/>
                      <w:szCs w:val="21"/>
                    </w:rPr>
                    <w:t>废水处理</w:t>
                  </w:r>
                </w:p>
              </w:tc>
              <w:tc>
                <w:tcPr>
                  <w:tcW w:w="4898" w:type="dxa"/>
                  <w:noWrap w:val="0"/>
                  <w:vAlign w:val="center"/>
                </w:tcPr>
                <w:p>
                  <w:pPr>
                    <w:spacing w:line="240" w:lineRule="atLeast"/>
                    <w:jc w:val="center"/>
                    <w:rPr>
                      <w:rFonts w:hint="eastAsia" w:eastAsia="宋体"/>
                      <w:color w:val="000000"/>
                      <w:sz w:val="21"/>
                      <w:szCs w:val="21"/>
                    </w:rPr>
                  </w:pPr>
                  <w:r>
                    <w:rPr>
                      <w:rFonts w:hint="eastAsia" w:eastAsia="宋体"/>
                      <w:color w:val="000000"/>
                      <w:sz w:val="21"/>
                      <w:szCs w:val="21"/>
                    </w:rPr>
                    <w:t>生活污水处理费用</w:t>
                  </w:r>
                </w:p>
              </w:tc>
              <w:tc>
                <w:tcPr>
                  <w:tcW w:w="1762" w:type="dxa"/>
                  <w:noWrap w:val="0"/>
                  <w:vAlign w:val="center"/>
                </w:tcPr>
                <w:p>
                  <w:pPr>
                    <w:spacing w:line="240" w:lineRule="atLeast"/>
                    <w:jc w:val="center"/>
                    <w:rPr>
                      <w:rFonts w:hint="eastAsia" w:eastAsia="宋体"/>
                      <w:color w:val="auto"/>
                      <w:sz w:val="21"/>
                      <w:szCs w:val="21"/>
                      <w:lang w:eastAsia="zh-CN"/>
                    </w:rPr>
                  </w:pPr>
                  <w:r>
                    <w:rPr>
                      <w:rFonts w:hint="eastAsia"/>
                      <w:color w:val="auto"/>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781" w:type="dxa"/>
                  <w:noWrap w:val="0"/>
                  <w:vAlign w:val="center"/>
                </w:tcPr>
                <w:p>
                  <w:pPr>
                    <w:spacing w:line="240" w:lineRule="atLeast"/>
                    <w:jc w:val="center"/>
                    <w:rPr>
                      <w:rFonts w:hint="eastAsia" w:ascii="Times New Roman" w:hAnsi="Times New Roman" w:eastAsia="宋体" w:cs="Times New Roman"/>
                      <w:color w:val="000000"/>
                      <w:kern w:val="2"/>
                      <w:sz w:val="21"/>
                      <w:szCs w:val="21"/>
                      <w:lang w:val="en-US" w:eastAsia="zh-CN" w:bidi="ar-SA"/>
                    </w:rPr>
                  </w:pPr>
                  <w:r>
                    <w:rPr>
                      <w:rFonts w:hint="eastAsia" w:eastAsia="宋体"/>
                      <w:color w:val="000000"/>
                      <w:sz w:val="21"/>
                      <w:szCs w:val="21"/>
                      <w:lang w:val="en-US" w:eastAsia="zh-CN"/>
                    </w:rPr>
                    <w:t>2</w:t>
                  </w:r>
                </w:p>
              </w:tc>
              <w:tc>
                <w:tcPr>
                  <w:tcW w:w="1189" w:type="dxa"/>
                  <w:noWrap w:val="0"/>
                  <w:vAlign w:val="center"/>
                </w:tcPr>
                <w:p>
                  <w:pPr>
                    <w:spacing w:line="240" w:lineRule="atLeast"/>
                    <w:jc w:val="center"/>
                    <w:rPr>
                      <w:rFonts w:hint="eastAsia" w:hAnsi="宋体" w:eastAsia="宋体"/>
                      <w:color w:val="000000"/>
                      <w:sz w:val="21"/>
                      <w:szCs w:val="21"/>
                      <w:lang w:eastAsia="zh-CN"/>
                    </w:rPr>
                  </w:pPr>
                  <w:r>
                    <w:rPr>
                      <w:rFonts w:hint="eastAsia" w:hAnsi="宋体"/>
                      <w:color w:val="000000"/>
                      <w:sz w:val="21"/>
                      <w:szCs w:val="21"/>
                      <w:lang w:eastAsia="zh-CN"/>
                    </w:rPr>
                    <w:t>废气处理</w:t>
                  </w:r>
                </w:p>
              </w:tc>
              <w:tc>
                <w:tcPr>
                  <w:tcW w:w="4898" w:type="dxa"/>
                  <w:noWrap w:val="0"/>
                  <w:vAlign w:val="center"/>
                </w:tcPr>
                <w:p>
                  <w:pPr>
                    <w:spacing w:line="240" w:lineRule="atLeast"/>
                    <w:jc w:val="center"/>
                    <w:rPr>
                      <w:rFonts w:hint="eastAsia" w:eastAsia="宋体"/>
                      <w:color w:val="000000"/>
                      <w:sz w:val="21"/>
                      <w:szCs w:val="21"/>
                      <w:lang w:eastAsia="zh-CN"/>
                    </w:rPr>
                  </w:pPr>
                  <w:r>
                    <w:rPr>
                      <w:rFonts w:hint="eastAsia"/>
                      <w:color w:val="000000"/>
                      <w:sz w:val="21"/>
                      <w:szCs w:val="21"/>
                      <w:lang w:eastAsia="zh-CN"/>
                    </w:rPr>
                    <w:t>废气处理设施设计、施工、运行、维护等</w:t>
                  </w:r>
                </w:p>
              </w:tc>
              <w:tc>
                <w:tcPr>
                  <w:tcW w:w="1762" w:type="dxa"/>
                  <w:noWrap w:val="0"/>
                  <w:vAlign w:val="center"/>
                </w:tcPr>
                <w:p>
                  <w:pPr>
                    <w:spacing w:line="240" w:lineRule="atLeast"/>
                    <w:jc w:val="center"/>
                    <w:rPr>
                      <w:rFonts w:hint="default" w:eastAsia="宋体"/>
                      <w:color w:val="auto"/>
                      <w:sz w:val="21"/>
                      <w:szCs w:val="21"/>
                      <w:lang w:val="en-US" w:eastAsia="zh-CN"/>
                    </w:rPr>
                  </w:pPr>
                  <w:r>
                    <w:rPr>
                      <w:rFonts w:hint="eastAsia"/>
                      <w:color w:val="auto"/>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781" w:type="dxa"/>
                  <w:noWrap w:val="0"/>
                  <w:vAlign w:val="center"/>
                </w:tcPr>
                <w:p>
                  <w:pPr>
                    <w:spacing w:line="240" w:lineRule="atLeast"/>
                    <w:jc w:val="center"/>
                    <w:rPr>
                      <w:rFonts w:hint="eastAsia" w:ascii="Times New Roman" w:hAnsi="Times New Roman" w:eastAsia="宋体" w:cs="Times New Roman"/>
                      <w:color w:val="000000"/>
                      <w:kern w:val="2"/>
                      <w:sz w:val="21"/>
                      <w:szCs w:val="21"/>
                      <w:lang w:val="en-US" w:eastAsia="zh-CN" w:bidi="ar-SA"/>
                    </w:rPr>
                  </w:pPr>
                  <w:r>
                    <w:rPr>
                      <w:rFonts w:hint="eastAsia" w:eastAsia="宋体"/>
                      <w:color w:val="000000"/>
                      <w:sz w:val="21"/>
                      <w:szCs w:val="21"/>
                      <w:lang w:val="en-US" w:eastAsia="zh-CN"/>
                    </w:rPr>
                    <w:t>3</w:t>
                  </w:r>
                </w:p>
              </w:tc>
              <w:tc>
                <w:tcPr>
                  <w:tcW w:w="1189" w:type="dxa"/>
                  <w:noWrap w:val="0"/>
                  <w:vAlign w:val="center"/>
                </w:tcPr>
                <w:p>
                  <w:pPr>
                    <w:spacing w:line="240" w:lineRule="atLeast"/>
                    <w:jc w:val="center"/>
                    <w:rPr>
                      <w:rFonts w:eastAsia="宋体"/>
                      <w:color w:val="000000"/>
                      <w:sz w:val="21"/>
                      <w:szCs w:val="21"/>
                    </w:rPr>
                  </w:pPr>
                  <w:r>
                    <w:rPr>
                      <w:rFonts w:hAnsi="宋体" w:eastAsia="宋体"/>
                      <w:color w:val="000000"/>
                      <w:sz w:val="21"/>
                      <w:szCs w:val="21"/>
                    </w:rPr>
                    <w:t>噪声处理</w:t>
                  </w:r>
                </w:p>
              </w:tc>
              <w:tc>
                <w:tcPr>
                  <w:tcW w:w="4898" w:type="dxa"/>
                  <w:noWrap w:val="0"/>
                  <w:vAlign w:val="center"/>
                </w:tcPr>
                <w:p>
                  <w:pPr>
                    <w:spacing w:line="240" w:lineRule="atLeast"/>
                    <w:jc w:val="center"/>
                    <w:rPr>
                      <w:rFonts w:eastAsia="宋体"/>
                      <w:color w:val="000000"/>
                      <w:sz w:val="21"/>
                      <w:szCs w:val="21"/>
                    </w:rPr>
                  </w:pPr>
                  <w:r>
                    <w:rPr>
                      <w:rFonts w:hint="eastAsia" w:hAnsi="宋体" w:eastAsia="宋体"/>
                      <w:color w:val="000000"/>
                      <w:sz w:val="21"/>
                      <w:szCs w:val="21"/>
                    </w:rPr>
                    <w:t>减振</w:t>
                  </w:r>
                  <w:r>
                    <w:rPr>
                      <w:rFonts w:hAnsi="宋体" w:eastAsia="宋体"/>
                      <w:color w:val="000000"/>
                      <w:sz w:val="21"/>
                      <w:szCs w:val="21"/>
                    </w:rPr>
                    <w:t>基础、隔声门窗、消声器等</w:t>
                  </w:r>
                </w:p>
              </w:tc>
              <w:tc>
                <w:tcPr>
                  <w:tcW w:w="1762" w:type="dxa"/>
                  <w:noWrap w:val="0"/>
                  <w:vAlign w:val="center"/>
                </w:tcPr>
                <w:p>
                  <w:pPr>
                    <w:spacing w:line="240" w:lineRule="atLeast"/>
                    <w:jc w:val="center"/>
                    <w:rPr>
                      <w:rFonts w:hint="eastAsia" w:eastAsia="宋体"/>
                      <w:color w:val="auto"/>
                      <w:sz w:val="21"/>
                      <w:szCs w:val="21"/>
                      <w:lang w:eastAsia="zh-CN"/>
                    </w:rPr>
                  </w:pPr>
                  <w:r>
                    <w:rPr>
                      <w:rFonts w:hint="eastAsia"/>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781" w:type="dxa"/>
                  <w:noWrap w:val="0"/>
                  <w:vAlign w:val="center"/>
                </w:tcPr>
                <w:p>
                  <w:pPr>
                    <w:spacing w:line="240" w:lineRule="atLeast"/>
                    <w:jc w:val="center"/>
                    <w:rPr>
                      <w:rFonts w:hint="default" w:eastAsia="宋体"/>
                      <w:color w:val="000000"/>
                      <w:sz w:val="21"/>
                      <w:szCs w:val="21"/>
                      <w:lang w:val="en-US" w:eastAsia="zh-CN"/>
                    </w:rPr>
                  </w:pPr>
                  <w:r>
                    <w:rPr>
                      <w:rFonts w:hint="eastAsia"/>
                      <w:color w:val="000000"/>
                      <w:sz w:val="21"/>
                      <w:szCs w:val="21"/>
                      <w:lang w:val="en-US" w:eastAsia="zh-CN"/>
                    </w:rPr>
                    <w:t>4</w:t>
                  </w:r>
                </w:p>
              </w:tc>
              <w:tc>
                <w:tcPr>
                  <w:tcW w:w="1189" w:type="dxa"/>
                  <w:noWrap w:val="0"/>
                  <w:vAlign w:val="center"/>
                </w:tcPr>
                <w:p>
                  <w:pPr>
                    <w:spacing w:line="240" w:lineRule="atLeast"/>
                    <w:jc w:val="center"/>
                    <w:rPr>
                      <w:rFonts w:eastAsia="宋体"/>
                      <w:color w:val="000000"/>
                      <w:sz w:val="21"/>
                      <w:szCs w:val="21"/>
                    </w:rPr>
                  </w:pPr>
                  <w:r>
                    <w:rPr>
                      <w:rFonts w:hAnsi="宋体" w:eastAsia="宋体"/>
                      <w:color w:val="000000"/>
                      <w:sz w:val="21"/>
                      <w:szCs w:val="21"/>
                    </w:rPr>
                    <w:t>固废处置</w:t>
                  </w:r>
                </w:p>
              </w:tc>
              <w:tc>
                <w:tcPr>
                  <w:tcW w:w="4898" w:type="dxa"/>
                  <w:noWrap w:val="0"/>
                  <w:vAlign w:val="center"/>
                </w:tcPr>
                <w:p>
                  <w:pPr>
                    <w:spacing w:line="240" w:lineRule="atLeast"/>
                    <w:jc w:val="center"/>
                    <w:rPr>
                      <w:rFonts w:eastAsia="宋体"/>
                      <w:color w:val="000000"/>
                      <w:sz w:val="21"/>
                      <w:szCs w:val="21"/>
                    </w:rPr>
                  </w:pPr>
                  <w:r>
                    <w:rPr>
                      <w:rFonts w:hAnsi="宋体" w:eastAsia="宋体"/>
                      <w:color w:val="000000"/>
                      <w:sz w:val="21"/>
                      <w:szCs w:val="21"/>
                    </w:rPr>
                    <w:t>生活垃圾收集箱、固废堆放场所</w:t>
                  </w:r>
                  <w:r>
                    <w:rPr>
                      <w:rFonts w:hint="eastAsia" w:hAnsi="宋体" w:eastAsia="宋体"/>
                      <w:color w:val="000000"/>
                      <w:sz w:val="21"/>
                      <w:szCs w:val="21"/>
                    </w:rPr>
                    <w:t>、危废处置费用等</w:t>
                  </w:r>
                </w:p>
              </w:tc>
              <w:tc>
                <w:tcPr>
                  <w:tcW w:w="1762" w:type="dxa"/>
                  <w:noWrap w:val="0"/>
                  <w:vAlign w:val="center"/>
                </w:tcPr>
                <w:p>
                  <w:pPr>
                    <w:spacing w:line="240" w:lineRule="atLeast"/>
                    <w:jc w:val="center"/>
                    <w:rPr>
                      <w:rFonts w:hint="eastAsia" w:eastAsia="宋体"/>
                      <w:color w:val="auto"/>
                      <w:sz w:val="21"/>
                      <w:szCs w:val="21"/>
                      <w:lang w:eastAsia="zh-CN"/>
                    </w:rPr>
                  </w:pPr>
                  <w:r>
                    <w:rPr>
                      <w:rFonts w:hint="eastAsia"/>
                      <w:color w:val="auto"/>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6868" w:type="dxa"/>
                  <w:gridSpan w:val="3"/>
                  <w:noWrap w:val="0"/>
                  <w:vAlign w:val="center"/>
                </w:tcPr>
                <w:p>
                  <w:pPr>
                    <w:tabs>
                      <w:tab w:val="left" w:pos="450"/>
                      <w:tab w:val="center" w:pos="4607"/>
                    </w:tabs>
                    <w:spacing w:line="240" w:lineRule="atLeast"/>
                    <w:rPr>
                      <w:rFonts w:eastAsia="宋体"/>
                      <w:color w:val="000000"/>
                      <w:sz w:val="21"/>
                      <w:szCs w:val="21"/>
                    </w:rPr>
                  </w:pPr>
                  <w:r>
                    <w:rPr>
                      <w:rFonts w:hint="eastAsia" w:hAnsi="宋体" w:eastAsia="宋体"/>
                      <w:color w:val="000000"/>
                      <w:sz w:val="21"/>
                      <w:szCs w:val="21"/>
                    </w:rPr>
                    <w:t xml:space="preserve">                          </w:t>
                  </w:r>
                  <w:r>
                    <w:rPr>
                      <w:rFonts w:hAnsi="宋体" w:eastAsia="宋体"/>
                      <w:color w:val="000000"/>
                      <w:sz w:val="21"/>
                      <w:szCs w:val="21"/>
                    </w:rPr>
                    <w:t>总计</w:t>
                  </w:r>
                </w:p>
              </w:tc>
              <w:tc>
                <w:tcPr>
                  <w:tcW w:w="1762" w:type="dxa"/>
                  <w:noWrap w:val="0"/>
                  <w:vAlign w:val="center"/>
                </w:tcPr>
                <w:p>
                  <w:pPr>
                    <w:spacing w:line="240" w:lineRule="atLeast"/>
                    <w:jc w:val="center"/>
                    <w:rPr>
                      <w:rFonts w:hint="default" w:eastAsia="宋体"/>
                      <w:color w:val="auto"/>
                      <w:sz w:val="21"/>
                      <w:szCs w:val="21"/>
                      <w:lang w:val="en-US" w:eastAsia="zh-CN"/>
                    </w:rPr>
                  </w:pPr>
                  <w:r>
                    <w:rPr>
                      <w:rFonts w:hint="eastAsia"/>
                      <w:color w:val="auto"/>
                      <w:sz w:val="21"/>
                      <w:szCs w:val="21"/>
                      <w:lang w:val="en-US" w:eastAsia="zh-CN"/>
                    </w:rPr>
                    <w:t>40</w:t>
                  </w:r>
                </w:p>
              </w:tc>
            </w:tr>
          </w:tbl>
          <w:p>
            <w:pPr>
              <w:widowControl w:val="0"/>
              <w:adjustRightInd w:val="0"/>
              <w:snapToGrid w:val="0"/>
              <w:spacing w:line="360" w:lineRule="auto"/>
              <w:rPr>
                <w:rFonts w:hint="eastAsia"/>
                <w:lang w:val="en-US" w:eastAsia="zh-CN"/>
              </w:rPr>
            </w:pPr>
          </w:p>
          <w:p>
            <w:pPr>
              <w:widowControl w:val="0"/>
              <w:adjustRightInd w:val="0"/>
              <w:snapToGrid w:val="0"/>
              <w:spacing w:line="360" w:lineRule="auto"/>
              <w:rPr>
                <w:rFonts w:hint="eastAsia"/>
                <w:lang w:val="en-US" w:eastAsia="zh-CN"/>
              </w:rPr>
            </w:pPr>
          </w:p>
          <w:p>
            <w:pPr>
              <w:widowControl w:val="0"/>
              <w:adjustRightInd w:val="0"/>
              <w:snapToGrid w:val="0"/>
              <w:spacing w:line="360" w:lineRule="auto"/>
              <w:rPr>
                <w:rFonts w:hint="eastAsia"/>
                <w:lang w:val="en-US" w:eastAsia="zh-CN"/>
              </w:rPr>
            </w:pPr>
          </w:p>
          <w:p>
            <w:pPr>
              <w:widowControl w:val="0"/>
              <w:adjustRightInd w:val="0"/>
              <w:snapToGrid w:val="0"/>
              <w:spacing w:line="360" w:lineRule="auto"/>
              <w:rPr>
                <w:rFonts w:hint="eastAsia"/>
                <w:lang w:val="en-US" w:eastAsia="zh-CN"/>
              </w:rPr>
            </w:pPr>
          </w:p>
          <w:p>
            <w:pPr>
              <w:widowControl w:val="0"/>
              <w:adjustRightInd w:val="0"/>
              <w:snapToGrid w:val="0"/>
              <w:spacing w:line="360" w:lineRule="auto"/>
              <w:rPr>
                <w:rFonts w:hint="eastAsia"/>
                <w:lang w:val="en-US" w:eastAsia="zh-CN"/>
              </w:rPr>
            </w:pPr>
          </w:p>
          <w:p>
            <w:pPr>
              <w:widowControl w:val="0"/>
              <w:adjustRightInd w:val="0"/>
              <w:snapToGrid w:val="0"/>
              <w:spacing w:line="360" w:lineRule="auto"/>
              <w:rPr>
                <w:rFonts w:hint="eastAsia"/>
                <w:lang w:val="en-US" w:eastAsia="zh-CN"/>
              </w:rPr>
            </w:pPr>
          </w:p>
          <w:p>
            <w:pPr>
              <w:pStyle w:val="2"/>
              <w:rPr>
                <w:rFonts w:hint="eastAsia"/>
                <w:lang w:val="en-US" w:eastAsia="zh-CN"/>
              </w:rPr>
            </w:pPr>
          </w:p>
          <w:p>
            <w:pPr>
              <w:widowControl w:val="0"/>
              <w:adjustRightInd w:val="0"/>
              <w:snapToGrid w:val="0"/>
              <w:spacing w:line="360" w:lineRule="auto"/>
              <w:rPr>
                <w:rFonts w:hint="eastAsia"/>
                <w:lang w:val="en-US" w:eastAsia="zh-CN"/>
              </w:rPr>
            </w:pPr>
          </w:p>
          <w:p>
            <w:pPr>
              <w:widowControl w:val="0"/>
              <w:adjustRightInd w:val="0"/>
              <w:snapToGrid w:val="0"/>
              <w:spacing w:line="360" w:lineRule="auto"/>
              <w:rPr>
                <w:rFonts w:hint="default" w:eastAsia="宋体"/>
                <w:lang w:val="en-US" w:eastAsia="zh-CN"/>
              </w:rPr>
            </w:pPr>
          </w:p>
        </w:tc>
      </w:tr>
    </w:tbl>
    <w:p>
      <w:pPr>
        <w:sectPr>
          <w:pgSz w:w="12240" w:h="15840"/>
          <w:pgMar w:top="1440" w:right="1800" w:bottom="1440" w:left="1800" w:header="720" w:footer="720" w:gutter="0"/>
          <w:pgNumType w:fmt="decimal"/>
          <w:cols w:space="720" w:num="1"/>
          <w:docGrid w:type="lines" w:linePitch="312" w:charSpace="0"/>
        </w:sectPr>
      </w:pPr>
    </w:p>
    <w:p>
      <w:pPr>
        <w:pStyle w:val="4"/>
        <w:bidi w:val="0"/>
        <w:rPr>
          <w:rFonts w:eastAsia="宋体"/>
        </w:rPr>
      </w:pPr>
      <w:bookmarkStart w:id="18" w:name="_Toc681"/>
      <w:bookmarkStart w:id="19" w:name="_Toc7617"/>
      <w:bookmarkStart w:id="20" w:name="_Toc14619"/>
      <w:bookmarkStart w:id="21" w:name="_Toc103603942"/>
      <w:bookmarkStart w:id="22" w:name="_Toc15719"/>
      <w:r>
        <w:rPr>
          <w:rFonts w:hint="eastAsia" w:ascii="宋体" w:hAnsi="宋体" w:eastAsia="宋体" w:cs="宋体"/>
        </w:rPr>
        <w:t>表四</w:t>
      </w:r>
      <w:bookmarkEnd w:id="18"/>
      <w:bookmarkEnd w:id="19"/>
      <w:bookmarkEnd w:id="20"/>
      <w:r>
        <w:rPr>
          <w:rFonts w:hint="eastAsia" w:ascii="宋体" w:hAnsi="宋体" w:eastAsia="宋体" w:cs="宋体"/>
        </w:rPr>
        <w:t xml:space="preserve">  建设项目环境影报告表主要结论及</w:t>
      </w:r>
      <w:bookmarkEnd w:id="21"/>
      <w:r>
        <w:rPr>
          <w:rFonts w:hint="eastAsia" w:ascii="宋体" w:hAnsi="宋体" w:eastAsia="宋体" w:cs="宋体"/>
        </w:rPr>
        <w:t>项目“三同时”落实情况</w:t>
      </w:r>
      <w:bookmarkEnd w:id="22"/>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95" w:hRule="atLeast"/>
        </w:trPr>
        <w:tc>
          <w:tcPr>
            <w:tcW w:w="8856" w:type="dxa"/>
            <w:shd w:val="clear" w:color="auto" w:fill="auto"/>
          </w:tcPr>
          <w:p>
            <w:pPr>
              <w:widowControl w:val="0"/>
              <w:spacing w:line="360" w:lineRule="auto"/>
              <w:rPr>
                <w:b/>
                <w:bCs/>
                <w:sz w:val="24"/>
                <w:szCs w:val="24"/>
              </w:rPr>
            </w:pPr>
            <w:r>
              <w:rPr>
                <w:rFonts w:hint="eastAsia"/>
                <w:b/>
                <w:bCs/>
                <w:sz w:val="24"/>
                <w:szCs w:val="24"/>
              </w:rPr>
              <w:t>一、环境影响评价报告表结论</w:t>
            </w:r>
          </w:p>
          <w:p>
            <w:pPr>
              <w:keepNext w:val="0"/>
              <w:keepLines w:val="0"/>
              <w:widowControl/>
              <w:suppressLineNumbers w:val="0"/>
              <w:spacing w:line="360" w:lineRule="auto"/>
              <w:ind w:firstLine="480" w:firstLineChars="200"/>
              <w:jc w:val="left"/>
            </w:pPr>
            <w:r>
              <w:rPr>
                <w:rFonts w:hint="eastAsia" w:eastAsia="宋体"/>
                <w:color w:val="000000"/>
                <w:sz w:val="24"/>
                <w:szCs w:val="24"/>
              </w:rPr>
              <w:t>本项目符合当地总体规划，符合“三线一单”要求。本项目产生的废水经处理达标后纳入市政污水管网；项目产生的废气经处理后能达标排放；项目产生的各类固废均能得到妥善处置；噪声经隔声降噪处理及平面合理布局后，能够达标排放。项目在采取合理的防渗措施后，不会对地下水、土壤环境造成不利影响；项目在采取相应风险防范措施后环境风险可控。综上，本环评认为，本项目的建设从环境保护的角度来说是可行的</w:t>
            </w:r>
            <w:r>
              <w:rPr>
                <w:rFonts w:eastAsia="宋体"/>
                <w:bCs/>
                <w:color w:val="000000"/>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p>
          <w:p>
            <w:pPr>
              <w:widowControl w:val="0"/>
              <w:spacing w:line="360" w:lineRule="auto"/>
              <w:rPr>
                <w:rFonts w:hint="eastAsia"/>
                <w:b/>
                <w:bCs/>
                <w:sz w:val="24"/>
                <w:szCs w:val="24"/>
              </w:rPr>
            </w:pPr>
            <w:r>
              <w:rPr>
                <w:rFonts w:hint="eastAsia"/>
                <w:b/>
                <w:bCs/>
                <w:sz w:val="24"/>
                <w:szCs w:val="24"/>
                <w:lang w:eastAsia="zh-CN"/>
              </w:rPr>
              <w:t>二</w:t>
            </w:r>
            <w:r>
              <w:rPr>
                <w:rFonts w:hint="eastAsia"/>
                <w:b/>
                <w:bCs/>
                <w:sz w:val="24"/>
                <w:szCs w:val="24"/>
              </w:rPr>
              <w:t>、项目环保设施“三同时”落实情况</w:t>
            </w:r>
          </w:p>
          <w:p>
            <w:pPr>
              <w:spacing w:line="360" w:lineRule="auto"/>
              <w:ind w:firstLine="480" w:firstLineChars="200"/>
              <w:rPr>
                <w:sz w:val="24"/>
              </w:rPr>
            </w:pPr>
            <w:r>
              <w:rPr>
                <w:rFonts w:hint="eastAsia"/>
                <w:sz w:val="24"/>
              </w:rPr>
              <w:t>项目环保设施“三同时”落实情况</w:t>
            </w:r>
            <w:r>
              <w:rPr>
                <w:sz w:val="24"/>
              </w:rPr>
              <w:t>见表</w:t>
            </w:r>
            <w:r>
              <w:rPr>
                <w:rFonts w:hint="eastAsia"/>
                <w:sz w:val="24"/>
              </w:rPr>
              <w:t>4-1</w:t>
            </w:r>
            <w:r>
              <w:rPr>
                <w:sz w:val="24"/>
              </w:rPr>
              <w:t>。</w:t>
            </w:r>
          </w:p>
          <w:p>
            <w:pPr>
              <w:spacing w:line="360" w:lineRule="auto"/>
              <w:jc w:val="center"/>
              <w:rPr>
                <w:b/>
                <w:bCs/>
                <w:sz w:val="24"/>
              </w:rPr>
            </w:pPr>
            <w:r>
              <w:rPr>
                <w:b/>
                <w:bCs/>
                <w:sz w:val="21"/>
                <w:szCs w:val="21"/>
              </w:rPr>
              <w:t>表</w:t>
            </w:r>
            <w:r>
              <w:rPr>
                <w:rFonts w:hint="eastAsia"/>
                <w:b/>
                <w:bCs/>
                <w:sz w:val="21"/>
                <w:szCs w:val="21"/>
              </w:rPr>
              <w:t>4-1 项目环保设施“三同时”落实情况一览表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3480"/>
              <w:gridCol w:w="3391"/>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blHeader/>
                <w:jc w:val="center"/>
              </w:trPr>
              <w:tc>
                <w:tcPr>
                  <w:tcW w:w="399"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2016"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环评及批复要求</w:t>
                  </w:r>
                </w:p>
              </w:tc>
              <w:tc>
                <w:tcPr>
                  <w:tcW w:w="1964" w:type="pct"/>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实际建设</w:t>
                  </w:r>
                  <w:r>
                    <w:rPr>
                      <w:rFonts w:hint="default" w:ascii="Times New Roman" w:hAnsi="Times New Roman" w:eastAsia="宋体" w:cs="Times New Roman"/>
                      <w:b/>
                      <w:bCs/>
                      <w:color w:val="auto"/>
                      <w:sz w:val="21"/>
                      <w:szCs w:val="21"/>
                    </w:rPr>
                    <w:t>情况</w:t>
                  </w:r>
                </w:p>
              </w:tc>
              <w:tc>
                <w:tcPr>
                  <w:tcW w:w="618" w:type="pct"/>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9"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项目选址及建设内容</w:t>
                  </w:r>
                </w:p>
              </w:tc>
              <w:tc>
                <w:tcPr>
                  <w:tcW w:w="2016" w:type="pct"/>
                  <w:noWrap w:val="0"/>
                  <w:vAlign w:val="center"/>
                </w:tcPr>
                <w:p>
                  <w:pPr>
                    <w:keepNext w:val="0"/>
                    <w:keepLines w:val="0"/>
                    <w:pageBreakBefore w:val="0"/>
                    <w:widowControl/>
                    <w:suppressLineNumbers w:val="0"/>
                    <w:kinsoku/>
                    <w:wordWrap/>
                    <w:overflowPunct/>
                    <w:topLinePunct w:val="0"/>
                    <w:bidi w:val="0"/>
                    <w:snapToGrid/>
                    <w:spacing w:line="240" w:lineRule="auto"/>
                    <w:ind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000000"/>
                      <w:kern w:val="0"/>
                      <w:sz w:val="21"/>
                      <w:szCs w:val="21"/>
                      <w:lang w:val="en-US" w:eastAsia="zh-CN" w:bidi="ar"/>
                    </w:rPr>
                    <w:t>本项目位于嘉善县罗星街道归谷嘉善科技园二期长三角未来邨产业园 ，租赁嘉善同嘉科技产业发展有限公司3号楼实施生产，租赁面积为2064.17平方米。项目规模为年产智能温度传感器200万件。</w:t>
                  </w:r>
                </w:p>
              </w:tc>
              <w:tc>
                <w:tcPr>
                  <w:tcW w:w="3391" w:type="dxa"/>
                  <w:noWrap w:val="0"/>
                  <w:vAlign w:val="center"/>
                </w:tcPr>
                <w:p>
                  <w:pPr>
                    <w:keepNext w:val="0"/>
                    <w:keepLines w:val="0"/>
                    <w:pageBreakBefore w:val="0"/>
                    <w:widowControl/>
                    <w:suppressLineNumbers w:val="0"/>
                    <w:kinsoku/>
                    <w:wordWrap/>
                    <w:overflowPunct/>
                    <w:topLinePunct w:val="0"/>
                    <w:bidi w:val="0"/>
                    <w:snapToGrid/>
                    <w:spacing w:line="240" w:lineRule="auto"/>
                    <w:ind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kern w:val="0"/>
                      <w:sz w:val="21"/>
                      <w:szCs w:val="21"/>
                      <w:lang w:val="en-US" w:eastAsia="zh-CN" w:bidi="ar"/>
                    </w:rPr>
                    <w:t>本项目位于嘉善县罗星街道归谷嘉善科技园二期长三角未来邨产业园 ，租赁嘉善同嘉科技产业发展有限公司3号楼实施生产，租赁面积为20</w:t>
                  </w:r>
                  <w:r>
                    <w:rPr>
                      <w:rFonts w:hint="eastAsia" w:cs="Times New Roman"/>
                      <w:color w:val="000000"/>
                      <w:kern w:val="0"/>
                      <w:sz w:val="21"/>
                      <w:szCs w:val="21"/>
                      <w:lang w:val="en-US" w:eastAsia="zh-CN" w:bidi="ar"/>
                    </w:rPr>
                    <w:t>55.44</w:t>
                  </w:r>
                  <w:r>
                    <w:rPr>
                      <w:rFonts w:hint="default" w:ascii="Times New Roman" w:hAnsi="Times New Roman" w:eastAsia="宋体" w:cs="Times New Roman"/>
                      <w:color w:val="000000"/>
                      <w:kern w:val="0"/>
                      <w:sz w:val="21"/>
                      <w:szCs w:val="21"/>
                      <w:lang w:val="en-US" w:eastAsia="zh-CN" w:bidi="ar"/>
                    </w:rPr>
                    <w:t>平方米。项目规模为年产智能温度传感器200万件。</w:t>
                  </w:r>
                </w:p>
              </w:tc>
              <w:tc>
                <w:tcPr>
                  <w:tcW w:w="618"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left"/>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9"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2016" w:type="pct"/>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0"/>
                      <w:sz w:val="21"/>
                      <w:szCs w:val="21"/>
                      <w:lang w:val="en-US" w:eastAsia="zh-CN"/>
                    </w:rPr>
                    <w:t>厂区雨污分流。生活污水经预处理达标后排入污水管网，排放标准执行《污水综合排放标准》（GB</w:t>
                  </w:r>
                  <w:r>
                    <w:rPr>
                      <w:rFonts w:hint="eastAsia" w:cs="Times New Roman"/>
                      <w:color w:val="auto"/>
                      <w:kern w:val="0"/>
                      <w:sz w:val="21"/>
                      <w:szCs w:val="21"/>
                      <w:lang w:val="en-US" w:eastAsia="zh-CN"/>
                    </w:rPr>
                    <w:t xml:space="preserve"> </w:t>
                  </w:r>
                  <w:r>
                    <w:rPr>
                      <w:rFonts w:hint="default" w:ascii="Times New Roman" w:hAnsi="Times New Roman" w:eastAsia="宋体" w:cs="Times New Roman"/>
                      <w:color w:val="auto"/>
                      <w:kern w:val="0"/>
                      <w:sz w:val="21"/>
                      <w:szCs w:val="21"/>
                      <w:lang w:val="en-US" w:eastAsia="zh-CN"/>
                    </w:rPr>
                    <w:t>8978-1996）三级标准；氨氮、总磷排放执行《工业企业废水氮、磷污染物间接排放限值》（DB33/</w:t>
                  </w:r>
                  <w:r>
                    <w:rPr>
                      <w:rFonts w:hint="eastAsia" w:cs="Times New Roman"/>
                      <w:color w:val="auto"/>
                      <w:kern w:val="0"/>
                      <w:sz w:val="21"/>
                      <w:szCs w:val="21"/>
                      <w:lang w:val="en-US" w:eastAsia="zh-CN"/>
                    </w:rPr>
                    <w:t xml:space="preserve"> </w:t>
                  </w:r>
                  <w:r>
                    <w:rPr>
                      <w:rFonts w:hint="default" w:ascii="Times New Roman" w:hAnsi="Times New Roman" w:eastAsia="宋体" w:cs="Times New Roman"/>
                      <w:color w:val="auto"/>
                      <w:kern w:val="0"/>
                      <w:sz w:val="21"/>
                      <w:szCs w:val="21"/>
                      <w:lang w:val="en-US" w:eastAsia="zh-CN"/>
                    </w:rPr>
                    <w:t>887-2013）</w:t>
                  </w:r>
                  <w:r>
                    <w:rPr>
                      <w:rFonts w:hint="eastAsia" w:ascii="Times New Roman" w:hAnsi="Times New Roman" w:eastAsia="宋体" w:cs="Times New Roman"/>
                      <w:color w:val="auto"/>
                      <w:kern w:val="0"/>
                      <w:sz w:val="21"/>
                      <w:szCs w:val="21"/>
                      <w:lang w:val="en-US" w:eastAsia="zh-CN"/>
                    </w:rPr>
                    <w:t>。</w:t>
                  </w:r>
                </w:p>
              </w:tc>
              <w:tc>
                <w:tcPr>
                  <w:tcW w:w="1964" w:type="pct"/>
                  <w:noWrap w:val="0"/>
                  <w:vAlign w:val="center"/>
                </w:tcPr>
                <w:p>
                  <w:pPr>
                    <w:pStyle w:val="69"/>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w:t>
                  </w:r>
                  <w:r>
                    <w:rPr>
                      <w:rFonts w:hint="eastAsia" w:ascii="Times New Roman" w:hAnsi="Times New Roman" w:eastAsia="宋体" w:cs="Times New Roman"/>
                      <w:sz w:val="21"/>
                      <w:szCs w:val="21"/>
                      <w:lang w:val="en-US" w:eastAsia="zh-CN"/>
                    </w:rPr>
                    <w:t>实施</w:t>
                  </w:r>
                  <w:r>
                    <w:rPr>
                      <w:rFonts w:hint="default" w:ascii="Times New Roman" w:hAnsi="Times New Roman" w:eastAsia="宋体" w:cs="Times New Roman"/>
                      <w:color w:val="auto"/>
                      <w:kern w:val="0"/>
                      <w:sz w:val="21"/>
                      <w:szCs w:val="21"/>
                      <w:lang w:val="en-US" w:eastAsia="zh-CN"/>
                    </w:rPr>
                    <w:t>雨污分流</w:t>
                  </w:r>
                  <w:r>
                    <w:rPr>
                      <w:rFonts w:hint="eastAsia"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en-US" w:eastAsia="zh-CN"/>
                    </w:rPr>
                    <w:t>生活污水经预处理达标后排入污水管网</w:t>
                  </w:r>
                  <w:r>
                    <w:rPr>
                      <w:rFonts w:hint="eastAsia" w:ascii="Times New Roman" w:hAnsi="Times New Roman" w:eastAsia="宋体" w:cs="Times New Roman"/>
                      <w:color w:val="auto"/>
                      <w:kern w:val="0"/>
                      <w:sz w:val="21"/>
                      <w:szCs w:val="21"/>
                      <w:lang w:val="en-US" w:eastAsia="zh-CN"/>
                    </w:rPr>
                    <w:t>。</w:t>
                  </w:r>
                </w:p>
                <w:p>
                  <w:pPr>
                    <w:pStyle w:val="69"/>
                    <w:keepNext w:val="0"/>
                    <w:keepLines w:val="0"/>
                    <w:pageBreakBefore w:val="0"/>
                    <w:kinsoku/>
                    <w:wordWrap/>
                    <w:overflowPunct/>
                    <w:topLinePunct w:val="0"/>
                    <w:bidi w:val="0"/>
                    <w:adjustRightInd w:val="0"/>
                    <w:snapToGrid/>
                    <w:spacing w:line="240" w:lineRule="auto"/>
                    <w:ind w:left="0" w:leftChars="0" w:right="0" w:right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监测期间，废水达标排放。</w:t>
                  </w:r>
                </w:p>
              </w:tc>
              <w:tc>
                <w:tcPr>
                  <w:tcW w:w="618" w:type="pct"/>
                  <w:noWrap w:val="0"/>
                  <w:vAlign w:val="center"/>
                </w:tcPr>
                <w:p>
                  <w:pPr>
                    <w:pStyle w:val="69"/>
                    <w:keepNext w:val="0"/>
                    <w:keepLines w:val="0"/>
                    <w:pageBreakBefore w:val="0"/>
                    <w:kinsoku/>
                    <w:wordWrap/>
                    <w:overflowPunct/>
                    <w:topLinePunct w:val="0"/>
                    <w:bidi w:val="0"/>
                    <w:adjustRightInd w:val="0"/>
                    <w:snapToGrid/>
                    <w:spacing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已落实</w:t>
                  </w:r>
                  <w:r>
                    <w:rPr>
                      <w:rFonts w:hint="eastAsia"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9"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2016" w:type="pct"/>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加强车间通风换气。生产过程中产生的废气须有效收集处理后通过 15 米高的排气筒排放。抛光粉尘、焊接烟尘、焊接有机废气及破碎粉尘执行《大气污染物综合排放标准》 （GB</w:t>
                  </w:r>
                  <w:r>
                    <w:rPr>
                      <w:rFonts w:hint="eastAsia" w:cs="Times New Roman"/>
                      <w:color w:val="auto"/>
                      <w:kern w:val="0"/>
                      <w:sz w:val="21"/>
                      <w:szCs w:val="21"/>
                      <w:lang w:val="en-US" w:eastAsia="zh-CN"/>
                    </w:rPr>
                    <w:t xml:space="preserve"> </w:t>
                  </w:r>
                  <w:r>
                    <w:rPr>
                      <w:rFonts w:hint="default" w:ascii="Times New Roman" w:hAnsi="Times New Roman" w:eastAsia="宋体" w:cs="Times New Roman"/>
                      <w:color w:val="auto"/>
                      <w:kern w:val="0"/>
                      <w:sz w:val="21"/>
                      <w:szCs w:val="21"/>
                      <w:lang w:val="en-US" w:eastAsia="zh-CN"/>
                    </w:rPr>
                    <w:t>16297-1996）中表 2 的排放浓度限值；注塑废气、粉碎粉尘、密封废气及老化废气排放执行《合成树脂工业污染物排放标准》（GB</w:t>
                  </w:r>
                  <w:r>
                    <w:rPr>
                      <w:rFonts w:hint="eastAsia" w:cs="Times New Roman"/>
                      <w:color w:val="auto"/>
                      <w:kern w:val="0"/>
                      <w:sz w:val="21"/>
                      <w:szCs w:val="21"/>
                      <w:lang w:val="en-US" w:eastAsia="zh-CN"/>
                    </w:rPr>
                    <w:t xml:space="preserve"> </w:t>
                  </w:r>
                  <w:r>
                    <w:rPr>
                      <w:rFonts w:hint="default" w:ascii="Times New Roman" w:hAnsi="Times New Roman" w:eastAsia="宋体" w:cs="Times New Roman"/>
                      <w:color w:val="auto"/>
                      <w:kern w:val="0"/>
                      <w:sz w:val="21"/>
                      <w:szCs w:val="21"/>
                      <w:lang w:val="en-US" w:eastAsia="zh-CN"/>
                    </w:rPr>
                    <w:t>31572-2015）表 5 中排放限值；厂区内 VOCs 无组织排放执行《挥发性有机物无组织排放控制标准》（GB 37822-2019）中的无组织特别排放限值。</w:t>
                  </w:r>
                </w:p>
              </w:tc>
              <w:tc>
                <w:tcPr>
                  <w:tcW w:w="1964" w:type="pct"/>
                  <w:noWrap w:val="0"/>
                  <w:vAlign w:val="center"/>
                </w:tcPr>
                <w:p>
                  <w:pPr>
                    <w:pStyle w:val="94"/>
                    <w:keepNext w:val="0"/>
                    <w:keepLines w:val="0"/>
                    <w:pageBreakBefore w:val="0"/>
                    <w:widowControl w:val="0"/>
                    <w:kinsoku/>
                    <w:wordWrap/>
                    <w:overflowPunct/>
                    <w:topLinePunct w:val="0"/>
                    <w:autoSpaceDE/>
                    <w:autoSpaceDN/>
                    <w:bidi w:val="0"/>
                    <w:adjustRightInd w:val="0"/>
                    <w:snapToGrid/>
                    <w:spacing w:after="0" w:line="240" w:lineRule="auto"/>
                    <w:ind w:left="0" w:leftChars="0" w:right="0" w:righ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实际本项目对抛光粉尘进行污染物处理措施加强，</w:t>
                  </w:r>
                  <w:r>
                    <w:rPr>
                      <w:rFonts w:hint="eastAsia"/>
                      <w:sz w:val="21"/>
                      <w:szCs w:val="21"/>
                    </w:rPr>
                    <w:t>抛光粉尘、焊接烟尘、破碎粉尘、焊接有机废气、密封废气、老化废气及注塑废气</w:t>
                  </w:r>
                  <w:r>
                    <w:rPr>
                      <w:rFonts w:hint="eastAsia"/>
                      <w:sz w:val="21"/>
                      <w:szCs w:val="21"/>
                      <w:lang w:eastAsia="zh-CN"/>
                    </w:rPr>
                    <w:t>经</w:t>
                  </w:r>
                  <w:r>
                    <w:rPr>
                      <w:rFonts w:hint="eastAsia" w:ascii="Times New Roman" w:hAnsi="Times New Roman" w:cs="Times New Roman"/>
                      <w:sz w:val="21"/>
                      <w:szCs w:val="21"/>
                      <w:lang w:eastAsia="zh-CN"/>
                    </w:rPr>
                    <w:t>收集后一并经布袋除尘+两级活性炭吸附处理，处理后通过</w:t>
                  </w:r>
                  <w:r>
                    <w:rPr>
                      <w:rFonts w:hint="eastAsia" w:cs="Times New Roman"/>
                      <w:sz w:val="21"/>
                      <w:szCs w:val="21"/>
                      <w:lang w:val="en-US" w:eastAsia="zh-CN"/>
                    </w:rPr>
                    <w:t>15m高</w:t>
                  </w:r>
                  <w:r>
                    <w:rPr>
                      <w:rFonts w:hint="eastAsia" w:ascii="Times New Roman" w:hAnsi="Times New Roman" w:cs="Times New Roman"/>
                      <w:sz w:val="21"/>
                      <w:szCs w:val="21"/>
                      <w:lang w:eastAsia="zh-CN"/>
                    </w:rPr>
                    <w:t>排气筒于屋顶高空排放</w:t>
                  </w:r>
                  <w:r>
                    <w:rPr>
                      <w:rFonts w:hint="default" w:ascii="Times New Roman" w:hAnsi="Times New Roman" w:eastAsia="宋体" w:cs="Times New Roman"/>
                      <w:sz w:val="21"/>
                      <w:szCs w:val="21"/>
                      <w:lang w:val="en-US" w:eastAsia="zh-CN"/>
                    </w:rPr>
                    <w:t>。</w:t>
                  </w:r>
                </w:p>
                <w:p>
                  <w:pPr>
                    <w:pStyle w:val="94"/>
                    <w:keepNext w:val="0"/>
                    <w:keepLines w:val="0"/>
                    <w:pageBreakBefore w:val="0"/>
                    <w:widowControl w:val="0"/>
                    <w:kinsoku/>
                    <w:wordWrap/>
                    <w:overflowPunct/>
                    <w:topLinePunct w:val="0"/>
                    <w:autoSpaceDE/>
                    <w:autoSpaceDN/>
                    <w:bidi w:val="0"/>
                    <w:adjustRightInd w:val="0"/>
                    <w:snapToGrid/>
                    <w:spacing w:after="0" w:line="240" w:lineRule="auto"/>
                    <w:ind w:left="0" w:leftChars="0" w:right="0" w:righ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监测期间，废</w:t>
                  </w:r>
                  <w:r>
                    <w:rPr>
                      <w:rFonts w:hint="eastAsia" w:eastAsia="宋体" w:cs="Times New Roman"/>
                      <w:sz w:val="21"/>
                      <w:szCs w:val="21"/>
                      <w:lang w:val="en-US" w:eastAsia="zh-CN"/>
                    </w:rPr>
                    <w:t>气</w:t>
                  </w:r>
                  <w:r>
                    <w:rPr>
                      <w:rFonts w:hint="default" w:ascii="Times New Roman" w:hAnsi="Times New Roman" w:eastAsia="宋体" w:cs="Times New Roman"/>
                      <w:sz w:val="21"/>
                      <w:szCs w:val="21"/>
                      <w:lang w:val="en-US" w:eastAsia="zh-CN"/>
                    </w:rPr>
                    <w:t>达标排放。</w:t>
                  </w:r>
                </w:p>
              </w:tc>
              <w:tc>
                <w:tcPr>
                  <w:tcW w:w="618" w:type="pct"/>
                  <w:noWrap w:val="0"/>
                  <w:vAlign w:val="center"/>
                </w:tcPr>
                <w:p>
                  <w:pPr>
                    <w:pStyle w:val="94"/>
                    <w:keepNext w:val="0"/>
                    <w:keepLines w:val="0"/>
                    <w:pageBreakBefore w:val="0"/>
                    <w:widowControl w:val="0"/>
                    <w:kinsoku/>
                    <w:wordWrap/>
                    <w:overflowPunct/>
                    <w:topLinePunct w:val="0"/>
                    <w:autoSpaceDE/>
                    <w:autoSpaceDN/>
                    <w:bidi w:val="0"/>
                    <w:adjustRightInd w:val="0"/>
                    <w:snapToGrid/>
                    <w:spacing w:after="0" w:line="240" w:lineRule="auto"/>
                    <w:ind w:left="0" w:leftChars="0" w:right="0" w:rightChars="0" w:firstLine="0" w:firstLineChars="0"/>
                    <w:jc w:val="left"/>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部分设施加强。</w:t>
                  </w:r>
                </w:p>
                <w:p>
                  <w:pPr>
                    <w:pStyle w:val="94"/>
                    <w:keepNext w:val="0"/>
                    <w:keepLines w:val="0"/>
                    <w:pageBreakBefore w:val="0"/>
                    <w:widowControl w:val="0"/>
                    <w:kinsoku/>
                    <w:wordWrap/>
                    <w:overflowPunct/>
                    <w:topLinePunct w:val="0"/>
                    <w:autoSpaceDE/>
                    <w:autoSpaceDN/>
                    <w:bidi w:val="0"/>
                    <w:adjustRightInd w:val="0"/>
                    <w:snapToGrid/>
                    <w:spacing w:after="0" w:line="240" w:lineRule="auto"/>
                    <w:ind w:left="0" w:leftChars="0" w:right="0" w:rightChars="0" w:firstLine="0" w:firstLineChars="0"/>
                    <w:jc w:val="left"/>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2016" w:type="pct"/>
                  <w:noWrap w:val="0"/>
                  <w:vAlign w:val="center"/>
                </w:tcPr>
                <w:p>
                  <w:pPr>
                    <w:pStyle w:val="2"/>
                    <w:keepNext w:val="0"/>
                    <w:keepLines w:val="0"/>
                    <w:pageBreakBefore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对高噪声设备采取有效的减震、隔声、降噪措施，并加强设备的日常维护。厂界噪声执 行《工业企业厂界环境噪声排放标准》（GB</w:t>
                  </w:r>
                  <w:r>
                    <w:rPr>
                      <w:rFonts w:hint="eastAsia" w:ascii="Times New Roman" w:hAnsi="Times New Roman"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12348-2008）2 类标准。</w:t>
                  </w:r>
                </w:p>
                <w:p>
                  <w:pPr>
                    <w:pStyle w:val="2"/>
                    <w:keepNext w:val="0"/>
                    <w:keepLines w:val="0"/>
                    <w:pageBreakBefore w:val="0"/>
                    <w:kinsoku/>
                    <w:wordWrap/>
                    <w:overflowPunct/>
                    <w:topLinePunct w:val="0"/>
                    <w:autoSpaceDE/>
                    <w:autoSpaceDN/>
                    <w:bidi w:val="0"/>
                    <w:adjustRightInd w:val="0"/>
                    <w:snapToGrid/>
                    <w:spacing w:line="240" w:lineRule="auto"/>
                    <w:ind w:right="0" w:rightChars="0"/>
                    <w:jc w:val="both"/>
                    <w:textAlignment w:val="auto"/>
                    <w:rPr>
                      <w:rFonts w:hint="default" w:ascii="Times New Roman" w:hAnsi="Times New Roman" w:eastAsia="宋体" w:cs="Times New Roman"/>
                      <w:color w:val="auto"/>
                      <w:sz w:val="21"/>
                      <w:szCs w:val="21"/>
                      <w:lang w:val="en-US" w:eastAsia="zh-CN"/>
                    </w:rPr>
                  </w:pPr>
                </w:p>
              </w:tc>
              <w:tc>
                <w:tcPr>
                  <w:tcW w:w="1964" w:type="pc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本项目噪声主要为设备运行时产生的噪声。</w:t>
                  </w:r>
                </w:p>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通过设备选型时尽量选用噪声较小的设备；对高噪声设备采用减振、隔声措施，加固基础，增设减震垫；生产时尽量少开启门窗，采用换气扇进行通风换气；选用性能好的减振材料和隔振器等措施来达到降噪效果。</w:t>
                  </w:r>
                </w:p>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lang w:val="en-US" w:eastAsia="zh-CN"/>
                    </w:rPr>
                    <w:t>监测期间，噪声达标排放。</w:t>
                  </w:r>
                </w:p>
              </w:tc>
              <w:tc>
                <w:tcPr>
                  <w:tcW w:w="618" w:type="pct"/>
                  <w:noWrap w:val="0"/>
                  <w:vAlign w:val="center"/>
                </w:tcPr>
                <w:p>
                  <w:pPr>
                    <w:keepNext w:val="0"/>
                    <w:keepLines w:val="0"/>
                    <w:pageBreakBefore w:val="0"/>
                    <w:widowControl/>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已落实</w:t>
                  </w:r>
                  <w:r>
                    <w:rPr>
                      <w:rFonts w:hint="eastAsia"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jc w:val="center"/>
              </w:trPr>
              <w:tc>
                <w:tcPr>
                  <w:tcW w:w="399"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固废</w:t>
                  </w:r>
                </w:p>
              </w:tc>
              <w:tc>
                <w:tcPr>
                  <w:tcW w:w="2016" w:type="pct"/>
                  <w:noWrap w:val="0"/>
                  <w:vAlign w:val="center"/>
                </w:tcPr>
                <w:p>
                  <w:pPr>
                    <w:pStyle w:val="2"/>
                    <w:keepNext w:val="0"/>
                    <w:keepLines w:val="0"/>
                    <w:pageBreakBefore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 w:val="21"/>
                      <w:szCs w:val="21"/>
                      <w:lang w:val="en-US" w:eastAsia="zh-CN"/>
                    </w:rPr>
                    <w:t>固体废物分类处理、处置，做到“资源化、减量化、无害化”。危险废物须按要求设置暂存场所，并委托有资质单位进行处置。生活垃圾由当地环卫部门统一清运处理</w:t>
                  </w:r>
                  <w:r>
                    <w:rPr>
                      <w:rFonts w:hint="default" w:ascii="Times New Roman" w:hAnsi="Times New Roman" w:eastAsia="宋体" w:cs="Times New Roman"/>
                      <w:sz w:val="21"/>
                      <w:szCs w:val="21"/>
                    </w:rPr>
                    <w:t>。</w:t>
                  </w:r>
                </w:p>
              </w:tc>
              <w:tc>
                <w:tcPr>
                  <w:tcW w:w="1964" w:type="pct"/>
                  <w:noWrap w:val="0"/>
                  <w:vAlign w:val="center"/>
                </w:tcPr>
                <w:p>
                  <w:pPr>
                    <w:pStyle w:val="2"/>
                    <w:keepNext w:val="0"/>
                    <w:keepLines w:val="0"/>
                    <w:pageBreakBefore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ascii="Times New Roman" w:hAnsi="Times New Roman" w:eastAsia="宋体" w:cs="Times New Roman"/>
                      <w:sz w:val="21"/>
                      <w:szCs w:val="21"/>
                      <w:lang w:eastAsia="zh-CN"/>
                    </w:rPr>
                    <w:t>对</w:t>
                  </w:r>
                  <w:r>
                    <w:rPr>
                      <w:rFonts w:hint="default" w:ascii="Times New Roman" w:hAnsi="Times New Roman" w:eastAsia="宋体" w:cs="Times New Roman"/>
                      <w:sz w:val="21"/>
                      <w:szCs w:val="21"/>
                      <w:lang w:val="en-US" w:eastAsia="zh-CN"/>
                    </w:rPr>
                    <w:t>固体废物分类处理、处置</w:t>
                  </w:r>
                  <w:r>
                    <w:rPr>
                      <w:rFonts w:hint="default" w:ascii="Times New Roman" w:hAnsi="Times New Roman" w:eastAsia="宋体" w:cs="Times New Roman"/>
                      <w:sz w:val="21"/>
                      <w:szCs w:val="21"/>
                    </w:rPr>
                    <w:t>。其中，</w:t>
                  </w:r>
                  <w:r>
                    <w:rPr>
                      <w:rFonts w:hint="eastAsia" w:ascii="Times New Roman" w:hAnsi="Times New Roman" w:cs="Times New Roman"/>
                      <w:sz w:val="21"/>
                      <w:szCs w:val="21"/>
                      <w:lang w:eastAsia="zh-CN"/>
                    </w:rPr>
                    <w:t>废</w:t>
                  </w:r>
                  <w:r>
                    <w:rPr>
                      <w:rFonts w:hint="default" w:ascii="Times New Roman" w:hAnsi="Times New Roman" w:eastAsia="宋体" w:cs="Times New Roman"/>
                      <w:sz w:val="21"/>
                      <w:szCs w:val="21"/>
                    </w:rPr>
                    <w:t>包装材料</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边角料</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收集尘收集后由物资公司回收综合利用</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color w:val="000000"/>
                      <w:kern w:val="0"/>
                      <w:sz w:val="21"/>
                      <w:szCs w:val="21"/>
                      <w:lang w:val="en-US" w:eastAsia="zh-CN" w:bidi="ar"/>
                    </w:rPr>
                    <w:t>生活垃圾</w:t>
                  </w:r>
                  <w:r>
                    <w:rPr>
                      <w:rFonts w:hint="eastAsia" w:ascii="Times New Roman" w:hAnsi="Times New Roman" w:eastAsia="宋体" w:cs="Times New Roman"/>
                      <w:color w:val="000000"/>
                      <w:kern w:val="0"/>
                      <w:sz w:val="21"/>
                      <w:szCs w:val="21"/>
                      <w:lang w:val="en-US" w:eastAsia="zh-CN" w:bidi="ar"/>
                    </w:rPr>
                    <w:t>及超声波清洗滤渣</w:t>
                  </w:r>
                  <w:r>
                    <w:rPr>
                      <w:rFonts w:hint="default" w:ascii="Times New Roman" w:hAnsi="Times New Roman" w:eastAsia="宋体" w:cs="Times New Roman"/>
                      <w:color w:val="000000"/>
                      <w:kern w:val="0"/>
                      <w:sz w:val="21"/>
                      <w:szCs w:val="21"/>
                      <w:lang w:val="en-US" w:eastAsia="zh-CN" w:bidi="ar"/>
                    </w:rPr>
                    <w:t>收集后由当地环卫部门清运处理</w:t>
                  </w:r>
                  <w:r>
                    <w:rPr>
                      <w:rFonts w:hint="eastAsia" w:ascii="Times New Roman" w:hAnsi="Times New Roman" w:eastAsia="宋体" w:cs="Times New Roman"/>
                      <w:color w:val="000000"/>
                      <w:kern w:val="0"/>
                      <w:sz w:val="21"/>
                      <w:szCs w:val="21"/>
                      <w:lang w:val="en-US" w:eastAsia="zh-CN" w:bidi="ar"/>
                    </w:rPr>
                    <w:t>；废润滑油、废润滑油包装桶、含油抹布、废活性炭委托</w:t>
                  </w:r>
                  <w:r>
                    <w:rPr>
                      <w:rFonts w:hint="eastAsia" w:ascii="Times New Roman" w:hAnsi="Times New Roman" w:cs="Times New Roman"/>
                      <w:color w:val="auto"/>
                      <w:kern w:val="0"/>
                      <w:sz w:val="21"/>
                      <w:szCs w:val="21"/>
                      <w:lang w:val="en-US" w:eastAsia="zh-CN" w:bidi="ar"/>
                    </w:rPr>
                    <w:t>丽水市民康医疗废物处理有限公司</w:t>
                  </w:r>
                  <w:r>
                    <w:rPr>
                      <w:rFonts w:hint="eastAsia" w:ascii="Times New Roman" w:hAnsi="Times New Roman" w:eastAsia="宋体" w:cs="Times New Roman"/>
                      <w:color w:val="000000"/>
                      <w:kern w:val="0"/>
                      <w:sz w:val="21"/>
                      <w:szCs w:val="21"/>
                      <w:lang w:val="en-US" w:eastAsia="zh-CN" w:bidi="ar"/>
                    </w:rPr>
                    <w:t>处理</w:t>
                  </w:r>
                  <w:r>
                    <w:rPr>
                      <w:rFonts w:hint="default" w:ascii="Times New Roman" w:hAnsi="Times New Roman" w:eastAsia="宋体" w:cs="Times New Roman"/>
                      <w:sz w:val="21"/>
                      <w:szCs w:val="21"/>
                    </w:rPr>
                    <w:t>。</w:t>
                  </w:r>
                </w:p>
              </w:tc>
              <w:tc>
                <w:tcPr>
                  <w:tcW w:w="618" w:type="pct"/>
                  <w:noWrap w:val="0"/>
                  <w:vAlign w:val="center"/>
                </w:tcPr>
                <w:p>
                  <w:pPr>
                    <w:pStyle w:val="2"/>
                    <w:keepNext w:val="0"/>
                    <w:keepLines w:val="0"/>
                    <w:pageBreakBefore w:val="0"/>
                    <w:kinsoku/>
                    <w:wordWrap/>
                    <w:overflowPunct/>
                    <w:topLinePunct w:val="0"/>
                    <w:autoSpaceDE/>
                    <w:autoSpaceDN/>
                    <w:bidi w:val="0"/>
                    <w:adjustRightInd w:val="0"/>
                    <w:snapToGrid/>
                    <w:spacing w:line="240" w:lineRule="auto"/>
                    <w:ind w:right="0" w:rightChars="0"/>
                    <w:textAlignment w:val="auto"/>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jc w:val="center"/>
              </w:trPr>
              <w:tc>
                <w:tcPr>
                  <w:tcW w:w="399" w:type="pct"/>
                  <w:noWrap w:val="0"/>
                  <w:vAlign w:val="center"/>
                </w:tcPr>
                <w:p>
                  <w:pPr>
                    <w:keepNext w:val="0"/>
                    <w:keepLines w:val="0"/>
                    <w:pageBreakBefore w:val="0"/>
                    <w:kinsoku/>
                    <w:wordWrap/>
                    <w:overflowPunct/>
                    <w:topLinePunct w:val="0"/>
                    <w:autoSpaceDE/>
                    <w:autoSpaceDN/>
                    <w:bidi w:val="0"/>
                    <w:adjustRightInd w:val="0"/>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总量</w:t>
                  </w:r>
                </w:p>
              </w:tc>
              <w:tc>
                <w:tcPr>
                  <w:tcW w:w="2016" w:type="pct"/>
                  <w:noWrap w:val="0"/>
                  <w:vAlign w:val="center"/>
                </w:tcPr>
                <w:p>
                  <w:pPr>
                    <w:pStyle w:val="2"/>
                    <w:keepNext w:val="0"/>
                    <w:keepLines w:val="0"/>
                    <w:pageBreakBefore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须进一步采取有效的技术措施和管理手段，以减少各类污染物的排放。根据该项目环评和建设项目审批总量控制的要求，该项目实施后，主要污染物排放量控制：烟粉尘 0.018 吨/年，VOCs0.011 吨/年，上述指标已由企业通过区域替代予以削减平衡。</w:t>
                  </w:r>
                </w:p>
              </w:tc>
              <w:tc>
                <w:tcPr>
                  <w:tcW w:w="1964" w:type="pct"/>
                  <w:noWrap w:val="0"/>
                  <w:vAlign w:val="center"/>
                </w:tcPr>
                <w:p>
                  <w:pPr>
                    <w:pStyle w:val="2"/>
                    <w:keepNext w:val="0"/>
                    <w:keepLines w:val="0"/>
                    <w:pageBreakBefore w:val="0"/>
                    <w:kinsoku/>
                    <w:wordWrap/>
                    <w:overflowPunct/>
                    <w:topLinePunct w:val="0"/>
                    <w:autoSpaceDE/>
                    <w:autoSpaceDN/>
                    <w:bidi w:val="0"/>
                    <w:adjustRightInd w:val="0"/>
                    <w:snapToGrid/>
                    <w:spacing w:line="240" w:lineRule="auto"/>
                    <w:ind w:left="0" w:leftChars="0" w:right="0" w:rightChars="0" w:firstLine="420" w:firstLineChars="200"/>
                    <w:jc w:val="both"/>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color w:val="auto"/>
                      <w:sz w:val="21"/>
                      <w:szCs w:val="21"/>
                      <w:lang w:eastAsia="zh-CN"/>
                    </w:rPr>
                    <w:t>本项目</w:t>
                  </w:r>
                  <w:r>
                    <w:rPr>
                      <w:rFonts w:hint="default" w:ascii="Times New Roman" w:hAnsi="Times New Roman" w:eastAsia="宋体" w:cs="Times New Roman"/>
                      <w:color w:val="auto"/>
                      <w:sz w:val="21"/>
                      <w:szCs w:val="21"/>
                      <w:lang w:val="en-US" w:eastAsia="zh-CN"/>
                    </w:rPr>
                    <w:t>主要污染物排放量</w:t>
                  </w:r>
                  <w:r>
                    <w:rPr>
                      <w:rFonts w:hint="eastAsia" w:ascii="Times New Roman" w:hAnsi="Times New Roman" w:eastAsia="宋体" w:cs="Times New Roman"/>
                      <w:color w:val="auto"/>
                      <w:sz w:val="21"/>
                      <w:szCs w:val="21"/>
                      <w:lang w:val="en-US" w:eastAsia="zh-CN"/>
                    </w:rPr>
                    <w:t>：</w:t>
                  </w:r>
                  <w:r>
                    <w:rPr>
                      <w:rFonts w:hint="eastAsia" w:ascii="Times New Roman" w:hAnsi="Times New Roman" w:cs="Times New Roman"/>
                      <w:color w:val="auto"/>
                      <w:sz w:val="21"/>
                      <w:szCs w:val="21"/>
                      <w:lang w:val="en-US" w:eastAsia="zh-CN"/>
                    </w:rPr>
                    <w:t>CODcr0.031t/a，NH</w:t>
                  </w:r>
                  <w:r>
                    <w:rPr>
                      <w:rFonts w:hint="eastAsia" w:ascii="Times New Roman" w:hAnsi="Times New Roman" w:cs="Times New Roman"/>
                      <w:color w:val="auto"/>
                      <w:sz w:val="21"/>
                      <w:szCs w:val="21"/>
                      <w:vertAlign w:val="subscript"/>
                      <w:lang w:val="en-US" w:eastAsia="zh-CN"/>
                    </w:rPr>
                    <w:t>3</w:t>
                  </w:r>
                  <w:r>
                    <w:rPr>
                      <w:rFonts w:hint="eastAsia" w:ascii="Times New Roman" w:hAnsi="Times New Roman" w:cs="Times New Roman"/>
                      <w:color w:val="auto"/>
                      <w:sz w:val="21"/>
                      <w:szCs w:val="21"/>
                      <w:lang w:val="en-US" w:eastAsia="zh-CN"/>
                    </w:rPr>
                    <w:t>-N0.003t/a，</w:t>
                  </w:r>
                  <w:r>
                    <w:rPr>
                      <w:rFonts w:hint="default" w:ascii="Times New Roman" w:hAnsi="Times New Roman" w:eastAsia="宋体" w:cs="Times New Roman"/>
                      <w:color w:val="auto"/>
                      <w:sz w:val="21"/>
                      <w:szCs w:val="21"/>
                      <w:lang w:val="en-US" w:eastAsia="zh-CN"/>
                    </w:rPr>
                    <w:t>烟粉尘 0.0</w:t>
                  </w:r>
                  <w:r>
                    <w:rPr>
                      <w:rFonts w:hint="eastAsia" w:ascii="Times New Roman" w:hAnsi="Times New Roman" w:cs="Times New Roman"/>
                      <w:color w:val="auto"/>
                      <w:sz w:val="21"/>
                      <w:szCs w:val="21"/>
                      <w:lang w:val="en-US" w:eastAsia="zh-CN"/>
                    </w:rPr>
                    <w:t>15</w:t>
                  </w:r>
                  <w:r>
                    <w:rPr>
                      <w:rFonts w:hint="default" w:ascii="Times New Roman" w:hAnsi="Times New Roman" w:eastAsia="宋体" w:cs="Times New Roman"/>
                      <w:color w:val="auto"/>
                      <w:sz w:val="21"/>
                      <w:szCs w:val="21"/>
                      <w:lang w:val="en-US" w:eastAsia="zh-CN"/>
                    </w:rPr>
                    <w:t xml:space="preserve"> 吨/年，VOCs0.011 吨/年</w:t>
                  </w:r>
                  <w:r>
                    <w:rPr>
                      <w:rFonts w:hint="eastAsia" w:ascii="Times New Roman" w:hAnsi="Times New Roman" w:eastAsia="宋体" w:cs="Times New Roman"/>
                      <w:color w:val="auto"/>
                      <w:sz w:val="21"/>
                      <w:szCs w:val="21"/>
                      <w:lang w:val="en-US" w:eastAsia="zh-CN"/>
                    </w:rPr>
                    <w:t>。</w:t>
                  </w:r>
                </w:p>
              </w:tc>
              <w:tc>
                <w:tcPr>
                  <w:tcW w:w="618" w:type="pct"/>
                  <w:noWrap w:val="0"/>
                  <w:vAlign w:val="center"/>
                </w:tcPr>
                <w:p>
                  <w:pPr>
                    <w:pStyle w:val="2"/>
                    <w:keepNext w:val="0"/>
                    <w:keepLines w:val="0"/>
                    <w:pageBreakBefore w:val="0"/>
                    <w:kinsoku/>
                    <w:wordWrap/>
                    <w:overflowPunct/>
                    <w:topLinePunct w:val="0"/>
                    <w:autoSpaceDE/>
                    <w:autoSpaceDN/>
                    <w:bidi w:val="0"/>
                    <w:adjustRightInd w:val="0"/>
                    <w:snapToGrid/>
                    <w:spacing w:line="240" w:lineRule="auto"/>
                    <w:ind w:right="0" w:rightChars="0"/>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已落实。</w:t>
                  </w:r>
                </w:p>
              </w:tc>
            </w:tr>
          </w:tbl>
          <w:p>
            <w:pPr>
              <w:widowControl w:val="0"/>
              <w:snapToGrid w:val="0"/>
              <w:rPr>
                <w:rFonts w:hint="eastAsia" w:eastAsia="宋体"/>
                <w:lang w:eastAsia="zh-CN"/>
              </w:rPr>
            </w:pPr>
          </w:p>
        </w:tc>
      </w:tr>
    </w:tbl>
    <w:p>
      <w:pPr>
        <w:sectPr>
          <w:pgSz w:w="12240" w:h="15840"/>
          <w:pgMar w:top="1440" w:right="1797" w:bottom="1440" w:left="1797" w:header="720" w:footer="720" w:gutter="0"/>
          <w:pgNumType w:fmt="decimal"/>
          <w:cols w:space="720" w:num="1"/>
          <w:docGrid w:type="lines" w:linePitch="312" w:charSpace="0"/>
        </w:sectPr>
      </w:pPr>
    </w:p>
    <w:p>
      <w:pPr>
        <w:pStyle w:val="4"/>
        <w:bidi w:val="0"/>
        <w:rPr>
          <w:rFonts w:hint="eastAsia" w:ascii="宋体" w:hAnsi="宋体" w:eastAsia="宋体" w:cs="宋体"/>
        </w:rPr>
      </w:pPr>
      <w:bookmarkStart w:id="23" w:name="_Toc10543901"/>
      <w:bookmarkStart w:id="24" w:name="_Toc23454"/>
      <w:bookmarkStart w:id="25" w:name="_Toc103603943"/>
      <w:bookmarkStart w:id="26" w:name="_Toc11731"/>
      <w:bookmarkStart w:id="27" w:name="_Toc31580"/>
      <w:bookmarkStart w:id="28" w:name="_Toc13847"/>
      <w:r>
        <w:rPr>
          <w:rFonts w:hint="eastAsia" w:ascii="宋体" w:hAnsi="宋体" w:eastAsia="宋体" w:cs="宋体"/>
        </w:rPr>
        <w:t>表五</w:t>
      </w:r>
      <w:bookmarkEnd w:id="23"/>
      <w:r>
        <w:rPr>
          <w:rFonts w:hint="eastAsia" w:ascii="宋体" w:hAnsi="宋体" w:eastAsia="宋体" w:cs="宋体"/>
        </w:rPr>
        <w:t xml:space="preserve">  验收监测质量保证及质量控制</w:t>
      </w:r>
      <w:bookmarkEnd w:id="24"/>
      <w:bookmarkEnd w:id="25"/>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23" w:hRule="atLeast"/>
          <w:jc w:val="center"/>
        </w:trPr>
        <w:tc>
          <w:tcPr>
            <w:tcW w:w="5000" w:type="pct"/>
          </w:tcPr>
          <w:p>
            <w:pPr>
              <w:keepNext w:val="0"/>
              <w:keepLines w:val="0"/>
              <w:pageBreakBefore w:val="0"/>
              <w:widowControl w:val="0"/>
              <w:kinsoku/>
              <w:wordWrap/>
              <w:overflowPunct/>
              <w:topLinePunct w:val="0"/>
              <w:autoSpaceDE/>
              <w:autoSpaceDN/>
              <w:bidi w:val="0"/>
              <w:adjustRightInd/>
              <w:snapToGrid/>
              <w:spacing w:line="360" w:lineRule="auto"/>
              <w:textAlignment w:val="auto"/>
              <w:rPr>
                <w:b/>
                <w:bCs/>
                <w:sz w:val="24"/>
                <w:szCs w:val="24"/>
              </w:rPr>
            </w:pPr>
            <w:r>
              <w:rPr>
                <w:b/>
                <w:bCs/>
                <w:sz w:val="24"/>
                <w:szCs w:val="24"/>
              </w:rPr>
              <w:t>一、</w:t>
            </w:r>
            <w:r>
              <w:rPr>
                <w:rFonts w:hint="eastAsia"/>
                <w:b/>
                <w:bCs/>
                <w:sz w:val="24"/>
                <w:szCs w:val="24"/>
              </w:rPr>
              <w:t>验收监测分析方法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sz w:val="24"/>
                <w:szCs w:val="24"/>
              </w:rPr>
              <w:t>监测分析方法按国家标准分析方法、生态环境部颁布的监测分析方法及有关规定执行。本项目</w:t>
            </w:r>
            <w:r>
              <w:rPr>
                <w:sz w:val="24"/>
                <w:szCs w:val="24"/>
              </w:rPr>
              <w:t>监测分析方法见表5-1。</w:t>
            </w:r>
          </w:p>
          <w:p>
            <w:pPr>
              <w:widowControl w:val="0"/>
              <w:spacing w:line="360" w:lineRule="auto"/>
              <w:jc w:val="center"/>
              <w:rPr>
                <w:b/>
                <w:bCs/>
                <w:sz w:val="21"/>
                <w:szCs w:val="21"/>
              </w:rPr>
            </w:pPr>
            <w:r>
              <w:rPr>
                <w:b/>
                <w:bCs/>
                <w:sz w:val="21"/>
                <w:szCs w:val="21"/>
              </w:rPr>
              <w:t xml:space="preserve">表5-1 </w:t>
            </w:r>
            <w:r>
              <w:rPr>
                <w:rFonts w:hint="eastAsia"/>
                <w:b/>
                <w:bCs/>
                <w:sz w:val="21"/>
                <w:szCs w:val="21"/>
              </w:rPr>
              <w:t xml:space="preserve"> </w:t>
            </w:r>
            <w:r>
              <w:rPr>
                <w:b/>
                <w:bCs/>
                <w:sz w:val="21"/>
                <w:szCs w:val="21"/>
              </w:rPr>
              <w:t>监测分析方法一览表</w:t>
            </w:r>
          </w:p>
          <w:tbl>
            <w:tblPr>
              <w:tblStyle w:val="32"/>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660"/>
              <w:gridCol w:w="1230"/>
              <w:gridCol w:w="3285"/>
              <w:gridCol w:w="1489"/>
              <w:gridCol w:w="1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06"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编号</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项目名称</w:t>
                  </w:r>
                </w:p>
              </w:tc>
              <w:tc>
                <w:tcPr>
                  <w:tcW w:w="1907"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监测方法</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方法标准号</w:t>
                  </w:r>
                </w:p>
              </w:tc>
              <w:tc>
                <w:tcPr>
                  <w:tcW w:w="725"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restar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pH值</w:t>
                  </w:r>
                </w:p>
              </w:tc>
              <w:tc>
                <w:tcPr>
                  <w:tcW w:w="1907"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水质 pH值的测定 电极法 </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HJ 1147-2020</w:t>
                  </w:r>
                </w:p>
              </w:tc>
              <w:tc>
                <w:tcPr>
                  <w:tcW w:w="725"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化学需氧量</w:t>
                  </w:r>
                </w:p>
              </w:tc>
              <w:tc>
                <w:tcPr>
                  <w:tcW w:w="1907"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 xml:space="preserve">水质 化学需氧量的测定 重铬酸盐法 </w:t>
                  </w:r>
                </w:p>
              </w:tc>
              <w:tc>
                <w:tcPr>
                  <w:tcW w:w="864" w:type="pct"/>
                  <w:noWrap w:val="0"/>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rPr>
                    <w:t>HJ 828-2017</w:t>
                  </w:r>
                </w:p>
              </w:tc>
              <w:tc>
                <w:tcPr>
                  <w:tcW w:w="72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sz w:val="21"/>
                      <w:szCs w:val="21"/>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悬浮物</w:t>
                  </w:r>
                </w:p>
              </w:tc>
              <w:tc>
                <w:tcPr>
                  <w:tcW w:w="1907"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水质 悬浮物的测定 重量法</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GB/T 11901-1989</w:t>
                  </w:r>
                </w:p>
              </w:tc>
              <w:tc>
                <w:tcPr>
                  <w:tcW w:w="72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氨氮</w:t>
                  </w:r>
                </w:p>
              </w:tc>
              <w:tc>
                <w:tcPr>
                  <w:tcW w:w="1907"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水质 氨氮的测定 纳氏试剂分光光度法</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HJ 535-2009</w:t>
                  </w:r>
                </w:p>
              </w:tc>
              <w:tc>
                <w:tcPr>
                  <w:tcW w:w="72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lang w:val="en-US" w:eastAsia="zh-CN"/>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总磷</w:t>
                  </w:r>
                </w:p>
              </w:tc>
              <w:tc>
                <w:tcPr>
                  <w:tcW w:w="1907"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水质 总磷的测定 钼酸铵分光光度法</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GB/T 11893-1989</w:t>
                  </w:r>
                </w:p>
              </w:tc>
              <w:tc>
                <w:tcPr>
                  <w:tcW w:w="72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lang w:val="en-US" w:eastAsia="zh-CN"/>
                    </w:rPr>
                    <w:t xml:space="preserve">0.01mg/L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restar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低浓度颗粒物</w:t>
                  </w:r>
                </w:p>
              </w:tc>
              <w:tc>
                <w:tcPr>
                  <w:tcW w:w="1907" w:type="pct"/>
                  <w:noWrap w:val="0"/>
                  <w:vAlign w:val="center"/>
                </w:tcPr>
                <w:p>
                  <w:pPr>
                    <w:widowControl/>
                    <w:spacing w:line="4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kern w:val="0"/>
                      <w:sz w:val="21"/>
                      <w:szCs w:val="21"/>
                    </w:rPr>
                    <w:t>固定污染源废气 低浓度颗粒物的测定 重量法</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Cs/>
                      <w:kern w:val="0"/>
                      <w:sz w:val="21"/>
                      <w:szCs w:val="21"/>
                    </w:rPr>
                    <w:t>HJ 836-2017</w:t>
                  </w:r>
                </w:p>
              </w:tc>
              <w:tc>
                <w:tcPr>
                  <w:tcW w:w="72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颗粒物</w:t>
                  </w:r>
                </w:p>
              </w:tc>
              <w:tc>
                <w:tcPr>
                  <w:tcW w:w="1907" w:type="pct"/>
                  <w:noWrap w:val="0"/>
                  <w:vAlign w:val="center"/>
                </w:tcPr>
                <w:p>
                  <w:pPr>
                    <w:widowControl/>
                    <w:spacing w:line="4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kern w:val="0"/>
                      <w:sz w:val="21"/>
                      <w:szCs w:val="21"/>
                    </w:rPr>
                    <w:t xml:space="preserve">固定污染源排气中颗粒物测定与气态污染物采样方法 </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kern w:val="0"/>
                      <w:sz w:val="21"/>
                      <w:szCs w:val="21"/>
                    </w:rPr>
                    <w:t>GB/T 16157-1996 及修改单</w:t>
                  </w:r>
                </w:p>
              </w:tc>
              <w:tc>
                <w:tcPr>
                  <w:tcW w:w="72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kern w:val="0"/>
                      <w:sz w:val="21"/>
                      <w:szCs w:val="21"/>
                    </w:rPr>
                    <w:t>非甲烷总烃</w:t>
                  </w:r>
                </w:p>
              </w:tc>
              <w:tc>
                <w:tcPr>
                  <w:tcW w:w="1907" w:type="pct"/>
                  <w:noWrap w:val="0"/>
                  <w:vAlign w:val="center"/>
                </w:tcPr>
                <w:p>
                  <w:pPr>
                    <w:widowControl/>
                    <w:spacing w:line="400" w:lineRule="exact"/>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Cs/>
                      <w:kern w:val="0"/>
                      <w:sz w:val="21"/>
                      <w:szCs w:val="21"/>
                    </w:rPr>
                    <w:t xml:space="preserve">固定污染源废气 总烃、甲烷和非甲烷总烃的测定 气相色谱法 </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kern w:val="0"/>
                      <w:sz w:val="21"/>
                      <w:szCs w:val="21"/>
                    </w:rPr>
                    <w:t>HJ 38-2017</w:t>
                  </w:r>
                </w:p>
              </w:tc>
              <w:tc>
                <w:tcPr>
                  <w:tcW w:w="72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0.07</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锡</w:t>
                  </w:r>
                </w:p>
              </w:tc>
              <w:tc>
                <w:tcPr>
                  <w:tcW w:w="1907" w:type="pct"/>
                  <w:noWrap w:val="0"/>
                  <w:vAlign w:val="center"/>
                </w:tcPr>
                <w:p>
                  <w:pPr>
                    <w:widowControl/>
                    <w:spacing w:line="4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kern w:val="0"/>
                      <w:sz w:val="21"/>
                      <w:szCs w:val="21"/>
                    </w:rPr>
                    <w:t xml:space="preserve">空气和废气 颗粒物中金属元素的测定 电感耦合等离子体发射光谱法 </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kern w:val="0"/>
                      <w:sz w:val="21"/>
                      <w:szCs w:val="21"/>
                    </w:rPr>
                    <w:t>HJ 777-2015</w:t>
                  </w:r>
                </w:p>
              </w:tc>
              <w:tc>
                <w:tcPr>
                  <w:tcW w:w="72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vertAlign w:val="baseline"/>
                      <w:lang w:eastAsia="zh-CN"/>
                    </w:rPr>
                  </w:pPr>
                  <w:r>
                    <w:rPr>
                      <w:rFonts w:hint="default" w:ascii="Times New Roman" w:hAnsi="Times New Roman" w:eastAsia="宋体" w:cs="Times New Roman"/>
                      <w:kern w:val="2"/>
                      <w:sz w:val="21"/>
                      <w:szCs w:val="21"/>
                      <w:lang w:eastAsia="zh-CN"/>
                    </w:rPr>
                    <w:t>有组织：</w:t>
                  </w:r>
                  <w:r>
                    <w:rPr>
                      <w:rFonts w:hint="default" w:ascii="Times New Roman" w:hAnsi="Times New Roman" w:eastAsia="宋体" w:cs="Times New Roman"/>
                      <w:kern w:val="2"/>
                      <w:sz w:val="21"/>
                      <w:szCs w:val="21"/>
                    </w:rPr>
                    <w:t>2μg/m</w:t>
                  </w:r>
                  <w:r>
                    <w:rPr>
                      <w:rFonts w:hint="default" w:ascii="Times New Roman" w:hAnsi="Times New Roman" w:eastAsia="宋体" w:cs="Times New Roman"/>
                      <w:kern w:val="2"/>
                      <w:sz w:val="21"/>
                      <w:szCs w:val="21"/>
                      <w:vertAlign w:val="superscript"/>
                    </w:rPr>
                    <w:t>3</w:t>
                  </w:r>
                  <w:r>
                    <w:rPr>
                      <w:rFonts w:hint="eastAsia" w:ascii="Times New Roman" w:hAnsi="Times New Roman" w:eastAsia="宋体" w:cs="Times New Roman"/>
                      <w:kern w:val="2"/>
                      <w:sz w:val="21"/>
                      <w:szCs w:val="21"/>
                      <w:vertAlign w:val="baseline"/>
                      <w:lang w:eastAsia="zh-CN"/>
                    </w:rPr>
                    <w:t>；</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kern w:val="2"/>
                      <w:sz w:val="21"/>
                      <w:szCs w:val="21"/>
                      <w:vertAlign w:val="baseline"/>
                      <w:lang w:eastAsia="zh-CN"/>
                    </w:rPr>
                    <w:t>无组织：</w:t>
                  </w:r>
                  <w:r>
                    <w:rPr>
                      <w:rFonts w:hint="default" w:ascii="Times New Roman" w:hAnsi="Times New Roman" w:eastAsia="宋体" w:cs="Times New Roman"/>
                      <w:kern w:val="2"/>
                      <w:sz w:val="21"/>
                      <w:szCs w:val="21"/>
                    </w:rPr>
                    <w:t>0.01μg/m</w:t>
                  </w:r>
                  <w:r>
                    <w:rPr>
                      <w:rFonts w:hint="default" w:ascii="Times New Roman" w:hAnsi="Times New Roman" w:eastAsia="宋体" w:cs="Times New Roman"/>
                      <w:kern w:val="2"/>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w:t>
                  </w:r>
                </w:p>
              </w:tc>
              <w:tc>
                <w:tcPr>
                  <w:tcW w:w="714" w:type="pct"/>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kern w:val="0"/>
                      <w:sz w:val="21"/>
                      <w:szCs w:val="21"/>
                    </w:rPr>
                    <w:t>总悬浮颗粒物</w:t>
                  </w:r>
                </w:p>
              </w:tc>
              <w:tc>
                <w:tcPr>
                  <w:tcW w:w="1907" w:type="pct"/>
                  <w:noWrap w:val="0"/>
                  <w:vAlign w:val="center"/>
                </w:tcPr>
                <w:p>
                  <w:pPr>
                    <w:widowControl/>
                    <w:spacing w:line="400" w:lineRule="exact"/>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kern w:val="0"/>
                      <w:sz w:val="21"/>
                      <w:szCs w:val="21"/>
                    </w:rPr>
                    <w:t xml:space="preserve">环境空气 总悬浮颗粒物的测定 重量法 </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kern w:val="0"/>
                      <w:sz w:val="21"/>
                      <w:szCs w:val="21"/>
                    </w:rPr>
                    <w:t>HJ 1263-2022</w:t>
                  </w:r>
                </w:p>
              </w:tc>
              <w:tc>
                <w:tcPr>
                  <w:tcW w:w="72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0.001</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vMerge w:val="continue"/>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rPr>
                  </w:pP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11</w:t>
                  </w:r>
                </w:p>
              </w:tc>
              <w:tc>
                <w:tcPr>
                  <w:tcW w:w="714" w:type="pct"/>
                  <w:noWrap w:val="0"/>
                  <w:vAlign w:val="center"/>
                </w:tcPr>
                <w:p>
                  <w:pPr>
                    <w:widowControl/>
                    <w:spacing w:line="400" w:lineRule="exact"/>
                    <w:jc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kern w:val="0"/>
                      <w:sz w:val="21"/>
                      <w:szCs w:val="21"/>
                    </w:rPr>
                    <w:t>非甲烷总烃</w:t>
                  </w:r>
                </w:p>
              </w:tc>
              <w:tc>
                <w:tcPr>
                  <w:tcW w:w="1907" w:type="pct"/>
                  <w:noWrap w:val="0"/>
                  <w:vAlign w:val="center"/>
                </w:tcPr>
                <w:p>
                  <w:pPr>
                    <w:widowControl/>
                    <w:spacing w:line="400" w:lineRule="exact"/>
                    <w:jc w:val="cente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kern w:val="0"/>
                      <w:sz w:val="21"/>
                      <w:szCs w:val="21"/>
                    </w:rPr>
                    <w:t xml:space="preserve">环境空气 总烃、甲烷和非甲烷总烃的测定 直接进样-气相色谱法 </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Cs/>
                      <w:kern w:val="0"/>
                      <w:sz w:val="21"/>
                      <w:szCs w:val="21"/>
                    </w:rPr>
                    <w:t>HJ 604-2017</w:t>
                  </w:r>
                </w:p>
              </w:tc>
              <w:tc>
                <w:tcPr>
                  <w:tcW w:w="72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0.07</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噪声</w:t>
                  </w:r>
                </w:p>
              </w:tc>
              <w:tc>
                <w:tcPr>
                  <w:tcW w:w="383"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12</w:t>
                  </w:r>
                </w:p>
              </w:tc>
              <w:tc>
                <w:tcPr>
                  <w:tcW w:w="71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昼间噪声</w:t>
                  </w:r>
                </w:p>
              </w:tc>
              <w:tc>
                <w:tcPr>
                  <w:tcW w:w="1907"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工业企业厂界环境噪声排放标准</w:t>
                  </w:r>
                </w:p>
              </w:tc>
              <w:tc>
                <w:tcPr>
                  <w:tcW w:w="864"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GB 12348-2008</w:t>
                  </w:r>
                </w:p>
              </w:tc>
              <w:tc>
                <w:tcPr>
                  <w:tcW w:w="725" w:type="pct"/>
                  <w:noWrap w:val="0"/>
                  <w:vAlign w:val="center"/>
                </w:tcPr>
                <w:p>
                  <w:pPr>
                    <w:keepNext w:val="0"/>
                    <w:keepLines w:val="0"/>
                    <w:pageBreakBefore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pPr>
              <w:widowControl w:val="0"/>
              <w:spacing w:line="360" w:lineRule="auto"/>
              <w:rPr>
                <w:rFonts w:hint="eastAsia"/>
                <w:b/>
                <w:bCs/>
                <w:sz w:val="24"/>
                <w:szCs w:val="24"/>
              </w:rPr>
            </w:pPr>
          </w:p>
          <w:p>
            <w:pPr>
              <w:widowControl w:val="0"/>
              <w:spacing w:line="360" w:lineRule="auto"/>
              <w:rPr>
                <w:b/>
                <w:bCs/>
                <w:sz w:val="24"/>
                <w:szCs w:val="24"/>
              </w:rPr>
            </w:pPr>
            <w:r>
              <w:rPr>
                <w:rFonts w:hint="eastAsia"/>
                <w:b/>
                <w:bCs/>
                <w:sz w:val="24"/>
                <w:szCs w:val="24"/>
              </w:rPr>
              <w:t>二、验收监测仪器设备</w:t>
            </w:r>
          </w:p>
          <w:p>
            <w:pPr>
              <w:widowControl w:val="0"/>
              <w:spacing w:line="360" w:lineRule="auto"/>
              <w:ind w:firstLine="480" w:firstLineChars="200"/>
              <w:rPr>
                <w:sz w:val="24"/>
                <w:szCs w:val="24"/>
              </w:rPr>
            </w:pPr>
            <w:r>
              <w:rPr>
                <w:rFonts w:hint="eastAsia"/>
                <w:sz w:val="24"/>
                <w:szCs w:val="24"/>
              </w:rPr>
              <w:t>根据《检验检测机构资质认定能力评价 检验检测机构通用要求》（RB/T 214-2017）中4.4.3章节的设备管理相关规定以及《检验检测机构资质认定 生态环境监测机构评审补充要求》第十二条要求，配齐包括现场测试和采样、样品保存运输和制备、实验室分析及数据处理等监测工作各环节所需的仪器设备，建立和保持仪器设备维护、管理相关的程序，使设备的性能和状态符合检测技术要求，对仪器设备实施有效管理。</w:t>
            </w:r>
          </w:p>
          <w:p>
            <w:pPr>
              <w:widowControl w:val="0"/>
              <w:spacing w:line="360" w:lineRule="auto"/>
              <w:ind w:firstLine="480" w:firstLineChars="200"/>
              <w:rPr>
                <w:b/>
                <w:bCs/>
                <w:sz w:val="24"/>
                <w:szCs w:val="24"/>
              </w:rPr>
            </w:pPr>
            <w:r>
              <w:rPr>
                <w:rFonts w:hint="eastAsia"/>
                <w:sz w:val="24"/>
                <w:szCs w:val="24"/>
              </w:rPr>
              <w:t>杭州广测环境技术有限公司参与本次项目监测的仪器均由有资质单位经过检定（或校准），并在有效的检定（或校准）范围之内，设备使用前校准合格后使用，能保证监测数据的有效性。</w:t>
            </w:r>
            <w:r>
              <w:rPr>
                <w:sz w:val="24"/>
                <w:szCs w:val="24"/>
              </w:rPr>
              <w:t>监测仪器设备详见表5-2。</w:t>
            </w:r>
          </w:p>
          <w:p>
            <w:pPr>
              <w:keepNext w:val="0"/>
              <w:keepLines w:val="0"/>
              <w:pageBreakBefore w:val="0"/>
              <w:widowControl/>
              <w:kinsoku/>
              <w:wordWrap/>
              <w:overflowPunct/>
              <w:topLinePunct w:val="0"/>
              <w:autoSpaceDE/>
              <w:autoSpaceDN/>
              <w:bidi w:val="0"/>
              <w:adjustRightInd/>
              <w:snapToGrid/>
              <w:spacing w:line="360" w:lineRule="auto"/>
              <w:jc w:val="center"/>
              <w:textAlignment w:val="auto"/>
              <w:rPr>
                <w:b/>
                <w:sz w:val="21"/>
                <w:szCs w:val="21"/>
              </w:rPr>
            </w:pPr>
            <w:r>
              <w:rPr>
                <w:b/>
                <w:sz w:val="21"/>
                <w:szCs w:val="21"/>
              </w:rPr>
              <w:t xml:space="preserve">表5-2 </w:t>
            </w:r>
            <w:r>
              <w:rPr>
                <w:rFonts w:hint="eastAsia"/>
                <w:b/>
                <w:sz w:val="21"/>
                <w:szCs w:val="21"/>
              </w:rPr>
              <w:t xml:space="preserve"> </w:t>
            </w:r>
            <w:r>
              <w:rPr>
                <w:b/>
                <w:sz w:val="21"/>
                <w:szCs w:val="21"/>
              </w:rPr>
              <w:t>主要监测仪器设备一览表</w:t>
            </w:r>
          </w:p>
          <w:tbl>
            <w:tblPr>
              <w:tblStyle w:val="32"/>
              <w:tblpPr w:leftFromText="180" w:rightFromText="180" w:vertAnchor="text" w:horzAnchor="page" w:tblpXSpec="center" w:tblpY="57"/>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3033"/>
              <w:gridCol w:w="1320"/>
              <w:gridCol w:w="1054"/>
              <w:gridCol w:w="1176"/>
              <w:gridCol w:w="1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76" w:type="dxa"/>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序号</w:t>
                  </w:r>
                </w:p>
              </w:tc>
              <w:tc>
                <w:tcPr>
                  <w:tcW w:w="3033" w:type="dxa"/>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仪器名称</w:t>
                  </w:r>
                </w:p>
              </w:tc>
              <w:tc>
                <w:tcPr>
                  <w:tcW w:w="1320" w:type="dxa"/>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仪器型号/</w:t>
                  </w:r>
                </w:p>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规格</w:t>
                  </w:r>
                </w:p>
              </w:tc>
              <w:tc>
                <w:tcPr>
                  <w:tcW w:w="1054" w:type="dxa"/>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仪器编号</w:t>
                  </w:r>
                </w:p>
              </w:tc>
              <w:tc>
                <w:tcPr>
                  <w:tcW w:w="1176" w:type="dxa"/>
                  <w:tcMar>
                    <w:top w:w="28" w:type="dxa"/>
                    <w:left w:w="28" w:type="dxa"/>
                    <w:bottom w:w="28" w:type="dxa"/>
                    <w:right w:w="28" w:type="dxa"/>
                  </w:tcMar>
                  <w:vAlign w:val="center"/>
                </w:tcPr>
                <w:p>
                  <w:pPr>
                    <w:keepNext w:val="0"/>
                    <w:keepLines w:val="0"/>
                    <w:pageBreakBefore w:val="0"/>
                    <w:widowControl/>
                    <w:numPr>
                      <w:ilvl w:val="0"/>
                      <w:numId w:val="0"/>
                    </w:numPr>
                    <w:kinsoku/>
                    <w:wordWrap/>
                    <w:overflowPunct/>
                    <w:topLinePunct w:val="0"/>
                    <w:autoSpaceDE/>
                    <w:autoSpaceDN/>
                    <w:bidi w:val="0"/>
                    <w:adjustRightInd/>
                    <w:snapToGrid/>
                    <w:spacing w:line="240" w:lineRule="exact"/>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仪器使用</w:t>
                  </w:r>
                </w:p>
                <w:p>
                  <w:pPr>
                    <w:keepNext w:val="0"/>
                    <w:keepLines w:val="0"/>
                    <w:pageBreakBefore w:val="0"/>
                    <w:widowControl/>
                    <w:numPr>
                      <w:ilvl w:val="0"/>
                      <w:numId w:val="0"/>
                    </w:numPr>
                    <w:kinsoku/>
                    <w:wordWrap/>
                    <w:overflowPunct/>
                    <w:topLinePunct w:val="0"/>
                    <w:autoSpaceDE/>
                    <w:autoSpaceDN/>
                    <w:bidi w:val="0"/>
                    <w:adjustRightInd/>
                    <w:snapToGrid/>
                    <w:spacing w:line="240" w:lineRule="exact"/>
                    <w:ind w:left="0" w:leftChars="0" w:firstLine="0" w:firstLineChars="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auto"/>
                      <w:sz w:val="21"/>
                      <w:szCs w:val="21"/>
                      <w:vertAlign w:val="baseline"/>
                      <w:lang w:val="en-US" w:eastAsia="zh-CN"/>
                    </w:rPr>
                    <w:t>有效期</w:t>
                  </w:r>
                </w:p>
              </w:tc>
              <w:tc>
                <w:tcPr>
                  <w:tcW w:w="1367" w:type="dxa"/>
                  <w:tcMar>
                    <w:top w:w="28" w:type="dxa"/>
                    <w:left w:w="28" w:type="dxa"/>
                    <w:bottom w:w="28" w:type="dxa"/>
                    <w:right w:w="28" w:type="dxa"/>
                  </w:tcMar>
                  <w:vAlign w:val="center"/>
                </w:tcPr>
                <w:p>
                  <w:pPr>
                    <w:keepNext w:val="0"/>
                    <w:keepLines w:val="0"/>
                    <w:pageBreakBefore w:val="0"/>
                    <w:widowControl/>
                    <w:numPr>
                      <w:ilvl w:val="0"/>
                      <w:numId w:val="0"/>
                    </w:numPr>
                    <w:kinsoku/>
                    <w:wordWrap/>
                    <w:overflowPunct/>
                    <w:topLinePunct w:val="0"/>
                    <w:autoSpaceDE/>
                    <w:autoSpaceDN/>
                    <w:bidi w:val="0"/>
                    <w:adjustRightInd/>
                    <w:snapToGrid/>
                    <w:spacing w:line="240" w:lineRule="exact"/>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是否在</w:t>
                  </w:r>
                </w:p>
                <w:p>
                  <w:pPr>
                    <w:keepNext w:val="0"/>
                    <w:keepLines w:val="0"/>
                    <w:pageBreakBefore w:val="0"/>
                    <w:widowControl/>
                    <w:numPr>
                      <w:ilvl w:val="0"/>
                      <w:numId w:val="0"/>
                    </w:numPr>
                    <w:kinsoku/>
                    <w:wordWrap/>
                    <w:overflowPunct/>
                    <w:topLinePunct w:val="0"/>
                    <w:autoSpaceDE/>
                    <w:autoSpaceDN/>
                    <w:bidi w:val="0"/>
                    <w:adjustRightInd/>
                    <w:snapToGrid/>
                    <w:spacing w:line="240" w:lineRule="exact"/>
                    <w:ind w:left="0" w:leftChars="0" w:firstLine="0" w:firstLineChars="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auto"/>
                      <w:sz w:val="21"/>
                      <w:szCs w:val="21"/>
                      <w:vertAlign w:val="baseline"/>
                      <w:lang w:val="en-US" w:eastAsia="zh-CN"/>
                    </w:rPr>
                    <w:t>有效期内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6" w:type="dxa"/>
                  <w:tcMar>
                    <w:top w:w="28" w:type="dxa"/>
                    <w:left w:w="28" w:type="dxa"/>
                    <w:bottom w:w="28" w:type="dxa"/>
                    <w:right w:w="28" w:type="dxa"/>
                  </w:tcMar>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1</w:t>
                  </w:r>
                </w:p>
              </w:tc>
              <w:tc>
                <w:tcPr>
                  <w:tcW w:w="3033" w:type="dxa"/>
                  <w:tcMar>
                    <w:top w:w="28" w:type="dxa"/>
                    <w:left w:w="28" w:type="dxa"/>
                    <w:bottom w:w="28" w:type="dxa"/>
                    <w:right w:w="28" w:type="dxa"/>
                  </w:tcMar>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便携式pH计</w:t>
                  </w:r>
                </w:p>
              </w:tc>
              <w:tc>
                <w:tcPr>
                  <w:tcW w:w="1320" w:type="dxa"/>
                  <w:tcMar>
                    <w:top w:w="28" w:type="dxa"/>
                    <w:left w:w="28" w:type="dxa"/>
                    <w:bottom w:w="28" w:type="dxa"/>
                    <w:right w:w="28" w:type="dxa"/>
                  </w:tcMar>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PHBJ-260型</w:t>
                  </w:r>
                </w:p>
              </w:tc>
              <w:tc>
                <w:tcPr>
                  <w:tcW w:w="1054" w:type="dxa"/>
                  <w:tcMar>
                    <w:top w:w="28" w:type="dxa"/>
                    <w:left w:w="28" w:type="dxa"/>
                    <w:bottom w:w="28" w:type="dxa"/>
                    <w:right w:w="28" w:type="dxa"/>
                  </w:tcMar>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GCY-672</w:t>
                  </w:r>
                </w:p>
              </w:tc>
              <w:tc>
                <w:tcPr>
                  <w:tcW w:w="1176" w:type="dxa"/>
                  <w:tcMar>
                    <w:top w:w="28" w:type="dxa"/>
                    <w:left w:w="28" w:type="dxa"/>
                    <w:bottom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20240313</w:t>
                  </w:r>
                </w:p>
              </w:tc>
              <w:tc>
                <w:tcPr>
                  <w:tcW w:w="1367" w:type="dxa"/>
                  <w:tcMar>
                    <w:top w:w="28" w:type="dxa"/>
                    <w:left w:w="28" w:type="dxa"/>
                    <w:bottom w:w="28" w:type="dxa"/>
                    <w:right w:w="28"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2</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具塞滴定管</w:t>
                  </w:r>
                  <w:r>
                    <w:rPr>
                      <w:rFonts w:hint="default" w:ascii="Times New Roman" w:hAnsi="Times New Roman" w:eastAsia="宋体" w:cs="Times New Roman"/>
                      <w:i w:val="0"/>
                      <w:iCs w:val="0"/>
                      <w:color w:val="000000"/>
                      <w:kern w:val="0"/>
                      <w:sz w:val="21"/>
                      <w:szCs w:val="21"/>
                      <w:u w:val="none"/>
                      <w:lang w:val="en-US" w:eastAsia="zh-CN" w:bidi="ar"/>
                    </w:rPr>
                    <w:br w:type="textWrapping"/>
                  </w:r>
                  <w:r>
                    <w:rPr>
                      <w:rFonts w:hint="default" w:ascii="Times New Roman" w:hAnsi="Times New Roman" w:eastAsia="宋体" w:cs="Times New Roman"/>
                      <w:i w:val="0"/>
                      <w:iCs w:val="0"/>
                      <w:color w:val="000000"/>
                      <w:kern w:val="0"/>
                      <w:sz w:val="21"/>
                      <w:szCs w:val="21"/>
                      <w:u w:val="none"/>
                      <w:lang w:val="en-US" w:eastAsia="zh-CN" w:bidi="ar"/>
                    </w:rPr>
                    <w:t>(酸式滴定管)</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50ml</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GCY-390</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20251130</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紫外可见分光光度计</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UV-2600A型</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GCY-637</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20240319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3033"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电子天平</w:t>
                  </w:r>
                </w:p>
              </w:tc>
              <w:tc>
                <w:tcPr>
                  <w:tcW w:w="1320"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ME204E/02</w:t>
                  </w:r>
                </w:p>
              </w:tc>
              <w:tc>
                <w:tcPr>
                  <w:tcW w:w="10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GCY-210</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20240319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5</w:t>
                  </w:r>
                </w:p>
              </w:tc>
              <w:tc>
                <w:tcPr>
                  <w:tcW w:w="3033"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全自动烟尘（气）测试仪</w:t>
                  </w:r>
                </w:p>
              </w:tc>
              <w:tc>
                <w:tcPr>
                  <w:tcW w:w="1320"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YQ3000-C型</w:t>
                  </w:r>
                </w:p>
              </w:tc>
              <w:tc>
                <w:tcPr>
                  <w:tcW w:w="1054"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GCY-489</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20240110</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6</w:t>
                  </w:r>
                </w:p>
              </w:tc>
              <w:tc>
                <w:tcPr>
                  <w:tcW w:w="3033"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岛津分析天平</w:t>
                  </w:r>
                </w:p>
              </w:tc>
              <w:tc>
                <w:tcPr>
                  <w:tcW w:w="1320"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AUW220D</w:t>
                  </w:r>
                </w:p>
              </w:tc>
              <w:tc>
                <w:tcPr>
                  <w:tcW w:w="105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GCY-556</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20240319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7</w:t>
                  </w:r>
                </w:p>
              </w:tc>
              <w:tc>
                <w:tcPr>
                  <w:tcW w:w="3033"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自动烟尘(气)测试仪</w:t>
                  </w:r>
                </w:p>
              </w:tc>
              <w:tc>
                <w:tcPr>
                  <w:tcW w:w="1320"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3012H</w:t>
                  </w:r>
                </w:p>
              </w:tc>
              <w:tc>
                <w:tcPr>
                  <w:tcW w:w="1054"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GCY-162</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20231022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8</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电感耦合等离子体发射光谱仪</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Optima2100DV</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GCY-554</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20240320</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9</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气相色谱仪</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GC9800</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GCY-523</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20240320</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w:t>
                  </w:r>
                </w:p>
              </w:tc>
              <w:tc>
                <w:tcPr>
                  <w:tcW w:w="3033"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智能综合大气采样器</w:t>
                  </w:r>
                </w:p>
              </w:tc>
              <w:tc>
                <w:tcPr>
                  <w:tcW w:w="1320"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ZC-Q0102</w:t>
                  </w:r>
                </w:p>
              </w:tc>
              <w:tc>
                <w:tcPr>
                  <w:tcW w:w="1054"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GCY-294</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20231022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11</w:t>
                  </w:r>
                </w:p>
              </w:tc>
              <w:tc>
                <w:tcPr>
                  <w:tcW w:w="3033"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智能综合采样器</w:t>
                  </w:r>
                </w:p>
              </w:tc>
              <w:tc>
                <w:tcPr>
                  <w:tcW w:w="1320"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ADS-2062E</w:t>
                  </w:r>
                </w:p>
              </w:tc>
              <w:tc>
                <w:tcPr>
                  <w:tcW w:w="1054" w:type="dxa"/>
                  <w:vAlign w:val="center"/>
                </w:tcPr>
                <w:p>
                  <w:pPr>
                    <w:widowControl/>
                    <w:spacing w:line="40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bCs/>
                      <w:kern w:val="0"/>
                      <w:sz w:val="21"/>
                      <w:szCs w:val="21"/>
                    </w:rPr>
                    <w:t>GCY-545</w:t>
                  </w:r>
                </w:p>
              </w:tc>
              <w:tc>
                <w:tcPr>
                  <w:tcW w:w="1176"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20230919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12</w:t>
                  </w:r>
                </w:p>
              </w:tc>
              <w:tc>
                <w:tcPr>
                  <w:tcW w:w="3033" w:type="dxa"/>
                  <w:vAlign w:val="center"/>
                </w:tcPr>
                <w:p>
                  <w:pPr>
                    <w:widowControl/>
                    <w:spacing w:line="40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智能综合采样器</w:t>
                  </w:r>
                </w:p>
              </w:tc>
              <w:tc>
                <w:tcPr>
                  <w:tcW w:w="1320" w:type="dxa"/>
                  <w:vAlign w:val="center"/>
                </w:tcPr>
                <w:p>
                  <w:pPr>
                    <w:widowControl/>
                    <w:spacing w:line="40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ADS-2062E</w:t>
                  </w:r>
                </w:p>
              </w:tc>
              <w:tc>
                <w:tcPr>
                  <w:tcW w:w="1054" w:type="dxa"/>
                  <w:vAlign w:val="center"/>
                </w:tcPr>
                <w:p>
                  <w:pPr>
                    <w:widowControl/>
                    <w:spacing w:line="40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GCY-546</w:t>
                  </w:r>
                </w:p>
              </w:tc>
              <w:tc>
                <w:tcPr>
                  <w:tcW w:w="1176"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20230916</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13</w:t>
                  </w:r>
                </w:p>
              </w:tc>
              <w:tc>
                <w:tcPr>
                  <w:tcW w:w="3033" w:type="dxa"/>
                  <w:vAlign w:val="center"/>
                </w:tcPr>
                <w:p>
                  <w:pPr>
                    <w:widowControl/>
                    <w:spacing w:line="40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智能综合采样器</w:t>
                  </w:r>
                </w:p>
              </w:tc>
              <w:tc>
                <w:tcPr>
                  <w:tcW w:w="1320" w:type="dxa"/>
                  <w:vAlign w:val="center"/>
                </w:tcPr>
                <w:p>
                  <w:pPr>
                    <w:widowControl/>
                    <w:spacing w:line="40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ADS-2062E</w:t>
                  </w:r>
                </w:p>
              </w:tc>
              <w:tc>
                <w:tcPr>
                  <w:tcW w:w="1054" w:type="dxa"/>
                  <w:vAlign w:val="center"/>
                </w:tcPr>
                <w:p>
                  <w:pPr>
                    <w:widowControl/>
                    <w:spacing w:line="400" w:lineRule="exact"/>
                    <w:jc w:val="center"/>
                    <w:rPr>
                      <w:rFonts w:hint="default" w:ascii="Times New Roman" w:hAnsi="Times New Roman" w:eastAsia="宋体" w:cs="Times New Roman"/>
                      <w:bCs/>
                      <w:kern w:val="0"/>
                      <w:sz w:val="21"/>
                      <w:szCs w:val="21"/>
                    </w:rPr>
                  </w:pPr>
                  <w:r>
                    <w:rPr>
                      <w:rFonts w:hint="default" w:ascii="Times New Roman" w:hAnsi="Times New Roman" w:eastAsia="宋体" w:cs="Times New Roman"/>
                      <w:bCs/>
                      <w:kern w:val="0"/>
                      <w:sz w:val="21"/>
                      <w:szCs w:val="21"/>
                    </w:rPr>
                    <w:t>GCY-547</w:t>
                  </w:r>
                </w:p>
              </w:tc>
              <w:tc>
                <w:tcPr>
                  <w:tcW w:w="1176"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20230919</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14</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气相色谱仪</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GC9800</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GCY-523</w:t>
                  </w:r>
                </w:p>
              </w:tc>
              <w:tc>
                <w:tcPr>
                  <w:tcW w:w="1176"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20240320</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多功能声级计</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AWA6228+</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GCY-541</w:t>
                  </w:r>
                </w:p>
              </w:tc>
              <w:tc>
                <w:tcPr>
                  <w:tcW w:w="117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20231107</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16</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风向风速仪</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P6-8232</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GCY-572</w:t>
                  </w:r>
                </w:p>
              </w:tc>
              <w:tc>
                <w:tcPr>
                  <w:tcW w:w="1176"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20240313</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kinsoku/>
                    <w:wordWrap/>
                    <w:overflowPunct/>
                    <w:topLinePunct w:val="0"/>
                    <w:autoSpaceDE/>
                    <w:autoSpaceDN/>
                    <w:bidi w:val="0"/>
                    <w:adjustRightInd/>
                    <w:snapToGrid/>
                    <w:spacing w:line="24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17</w:t>
                  </w:r>
                </w:p>
              </w:tc>
              <w:tc>
                <w:tcPr>
                  <w:tcW w:w="3033"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声校准器</w:t>
                  </w:r>
                </w:p>
              </w:tc>
              <w:tc>
                <w:tcPr>
                  <w:tcW w:w="1320"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AWA6222A</w:t>
                  </w:r>
                </w:p>
              </w:tc>
              <w:tc>
                <w:tcPr>
                  <w:tcW w:w="105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GCY-543</w:t>
                  </w:r>
                </w:p>
              </w:tc>
              <w:tc>
                <w:tcPr>
                  <w:tcW w:w="1176"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20231012</w:t>
                  </w:r>
                </w:p>
              </w:tc>
              <w:tc>
                <w:tcPr>
                  <w:tcW w:w="0" w:type="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exact"/>
                    <w:jc w:val="center"/>
                    <w:textAlignment w:val="bottom"/>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是</w:t>
                  </w:r>
                </w:p>
              </w:tc>
            </w:tr>
          </w:tbl>
          <w:p>
            <w:pPr>
              <w:keepNext/>
              <w:keepLines w:val="0"/>
              <w:pageBreakBefore w:val="0"/>
              <w:widowControl w:val="0"/>
              <w:kinsoku/>
              <w:wordWrap/>
              <w:overflowPunct/>
              <w:topLinePunct w:val="0"/>
              <w:autoSpaceDE/>
              <w:autoSpaceDN/>
              <w:bidi w:val="0"/>
              <w:adjustRightInd/>
              <w:snapToGrid/>
              <w:spacing w:line="360" w:lineRule="auto"/>
              <w:jc w:val="left"/>
              <w:textAlignment w:val="auto"/>
              <w:rPr>
                <w:b/>
                <w:bCs/>
                <w:sz w:val="24"/>
                <w:szCs w:val="24"/>
              </w:rPr>
            </w:pPr>
            <w:r>
              <w:rPr>
                <w:b/>
                <w:bCs/>
                <w:sz w:val="24"/>
                <w:szCs w:val="24"/>
              </w:rPr>
              <w:t>三、质量控制和质量保证措施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sz w:val="24"/>
                <w:szCs w:val="24"/>
              </w:rPr>
              <w:t>（1）环保设施</w:t>
            </w:r>
            <w:r>
              <w:rPr>
                <w:rFonts w:hint="eastAsia"/>
                <w:sz w:val="24"/>
                <w:szCs w:val="24"/>
                <w:lang w:eastAsia="zh-CN"/>
              </w:rPr>
              <w:t>竣工</w:t>
            </w:r>
            <w:r>
              <w:rPr>
                <w:rFonts w:hint="eastAsia"/>
                <w:sz w:val="24"/>
                <w:szCs w:val="24"/>
              </w:rPr>
              <w:t>验收现场监测，按规定满足相应的工况条件，</w:t>
            </w:r>
            <w:r>
              <w:rPr>
                <w:sz w:val="24"/>
                <w:szCs w:val="24"/>
              </w:rPr>
              <w:t>合理布设监测点位，保证各监测点位布设的科学性和可比性。</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sz w:val="24"/>
              </w:rPr>
            </w:pPr>
            <w:r>
              <w:rPr>
                <w:rFonts w:hint="eastAsia"/>
                <w:sz w:val="24"/>
                <w:szCs w:val="24"/>
              </w:rPr>
              <w:t>（2）</w:t>
            </w:r>
            <w:r>
              <w:rPr>
                <w:rFonts w:hint="eastAsia"/>
                <w:sz w:val="24"/>
              </w:rPr>
              <w:t>监测分析方法采用国家有关部门颁布的标准（或推荐）分析方法，</w:t>
            </w:r>
            <w:r>
              <w:rPr>
                <w:rFonts w:hint="default"/>
                <w:sz w:val="24"/>
              </w:rPr>
              <w:t>参与本项目的采样、分析技术人员均参与浙江省环境监测协会及公司内部培训，并通过考核，拥有相关领域的上岗证，做到执证上岗。</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sz w:val="24"/>
                <w:szCs w:val="24"/>
              </w:rPr>
              <w:t>（3）</w:t>
            </w:r>
            <w:r>
              <w:rPr>
                <w:rFonts w:hint="eastAsia"/>
                <w:sz w:val="24"/>
              </w:rPr>
              <w:t>环保设施</w:t>
            </w:r>
            <w:r>
              <w:rPr>
                <w:rFonts w:hint="eastAsia"/>
                <w:sz w:val="24"/>
                <w:lang w:eastAsia="zh-CN"/>
              </w:rPr>
              <w:t>竣工</w:t>
            </w:r>
            <w:r>
              <w:rPr>
                <w:rFonts w:hint="eastAsia"/>
                <w:sz w:val="24"/>
              </w:rPr>
              <w:t>验收监测中使用的布点、采样、分析测试方法，首先选择目前适用的国家和行业标准分析方法、监测技术规范，其次是生态环境部推荐的统一分析方法或试行分析方法及有关规定。</w:t>
            </w:r>
            <w:r>
              <w:rPr>
                <w:sz w:val="24"/>
                <w:szCs w:val="24"/>
              </w:rPr>
              <w:t>现场监测前，</w:t>
            </w:r>
            <w:r>
              <w:rPr>
                <w:rFonts w:hint="eastAsia"/>
                <w:sz w:val="24"/>
                <w:szCs w:val="24"/>
              </w:rPr>
              <w:t>监测</w:t>
            </w:r>
            <w:r>
              <w:rPr>
                <w:sz w:val="24"/>
                <w:szCs w:val="24"/>
              </w:rPr>
              <w:t>仪器使用标准</w:t>
            </w:r>
            <w:r>
              <w:rPr>
                <w:rFonts w:hint="eastAsia"/>
                <w:sz w:val="24"/>
                <w:szCs w:val="24"/>
              </w:rPr>
              <w:t>校准器</w:t>
            </w:r>
            <w:r>
              <w:rPr>
                <w:sz w:val="24"/>
                <w:szCs w:val="24"/>
              </w:rPr>
              <w:t>进行校准，并按照原国家环保总局发布的环境监测技术规范的要求进行全过程质量控制。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bCs/>
                <w:sz w:val="24"/>
                <w:szCs w:val="24"/>
              </w:rPr>
            </w:pPr>
            <w:r>
              <w:rPr>
                <w:rFonts w:hint="eastAsia"/>
                <w:sz w:val="24"/>
                <w:szCs w:val="24"/>
              </w:rPr>
              <w:t>（4）</w:t>
            </w:r>
            <w:r>
              <w:rPr>
                <w:sz w:val="24"/>
                <w:szCs w:val="24"/>
              </w:rPr>
              <w:t>保证验收监测分析结果的准确可靠性。</w:t>
            </w:r>
            <w:r>
              <w:rPr>
                <w:rFonts w:eastAsiaTheme="minorEastAsia"/>
                <w:sz w:val="24"/>
                <w:szCs w:val="24"/>
              </w:rPr>
              <w:t>样品的采集、运输、保存及实验室分析全过程质量保证参照</w:t>
            </w:r>
            <w:r>
              <w:rPr>
                <w:rFonts w:hint="eastAsia"/>
                <w:sz w:val="24"/>
                <w:szCs w:val="24"/>
              </w:rPr>
              <w:t>《浙江省环境监测质量保证技术规定》（第三版 试行）执行</w:t>
            </w:r>
            <w:r>
              <w:rPr>
                <w:sz w:val="24"/>
                <w:szCs w:val="24"/>
              </w:rPr>
              <w:t>，每批样品分析的同时做质控样品。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highlight w:val="none"/>
              </w:rPr>
            </w:pPr>
            <w:r>
              <w:rPr>
                <w:rFonts w:hint="eastAsia"/>
                <w:sz w:val="24"/>
                <w:szCs w:val="24"/>
              </w:rPr>
              <w:t>（5）验收监测的采样记录及分析测试结果，按国家标准和监测技术规范有关要求进行数据处理和填报，并按有关规</w:t>
            </w:r>
            <w:r>
              <w:rPr>
                <w:rFonts w:hint="eastAsia"/>
                <w:sz w:val="24"/>
                <w:szCs w:val="24"/>
                <w:highlight w:val="none"/>
              </w:rPr>
              <w:t>定和要求进行三级审核。</w:t>
            </w:r>
          </w:p>
          <w:p>
            <w:pPr>
              <w:widowControl w:val="0"/>
              <w:spacing w:line="360" w:lineRule="auto"/>
              <w:ind w:firstLine="480" w:firstLineChars="200"/>
              <w:rPr>
                <w:rFonts w:hint="eastAsia" w:eastAsia="宋体" w:cs="Times New Roman"/>
                <w:b/>
                <w:bCs w:val="0"/>
                <w:color w:val="auto"/>
                <w:kern w:val="0"/>
                <w:sz w:val="21"/>
                <w:szCs w:val="21"/>
                <w:lang w:val="en-US" w:eastAsia="zh-CN"/>
              </w:rPr>
            </w:pPr>
            <w:r>
              <w:rPr>
                <w:sz w:val="24"/>
                <w:szCs w:val="24"/>
                <w:highlight w:val="none"/>
              </w:rPr>
              <w:t>部分分析项目</w:t>
            </w:r>
            <w:r>
              <w:rPr>
                <w:rFonts w:hint="eastAsia"/>
                <w:sz w:val="24"/>
                <w:szCs w:val="24"/>
                <w:highlight w:val="none"/>
                <w:lang w:val="en-US" w:eastAsia="zh-CN"/>
              </w:rPr>
              <w:t>质控</w:t>
            </w:r>
            <w:r>
              <w:rPr>
                <w:sz w:val="24"/>
                <w:szCs w:val="24"/>
                <w:highlight w:val="none"/>
              </w:rPr>
              <w:t>结果与评价</w:t>
            </w:r>
            <w:r>
              <w:rPr>
                <w:rFonts w:hint="eastAsia"/>
                <w:sz w:val="24"/>
                <w:szCs w:val="24"/>
                <w:highlight w:val="none"/>
              </w:rPr>
              <w:t>见表5</w:t>
            </w:r>
            <w:r>
              <w:rPr>
                <w:sz w:val="24"/>
                <w:szCs w:val="24"/>
                <w:highlight w:val="none"/>
              </w:rPr>
              <w:t>-</w:t>
            </w:r>
            <w:r>
              <w:rPr>
                <w:rFonts w:hint="eastAsia"/>
                <w:sz w:val="24"/>
                <w:szCs w:val="24"/>
                <w:highlight w:val="none"/>
                <w:lang w:val="en-US" w:eastAsia="zh-CN"/>
              </w:rPr>
              <w:t>3、5-4、5.5</w:t>
            </w:r>
            <w:r>
              <w:rPr>
                <w:rFonts w:hint="eastAsia"/>
                <w:sz w:val="24"/>
                <w:szCs w:val="24"/>
                <w:highlight w:val="none"/>
              </w:rPr>
              <w:t>。</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lang w:val="en-US" w:eastAsia="zh-CN"/>
              </w:rPr>
            </w:pPr>
            <w:r>
              <w:rPr>
                <w:rFonts w:hint="eastAsia" w:eastAsia="宋体" w:cs="Times New Roman"/>
                <w:b/>
                <w:bCs w:val="0"/>
                <w:color w:val="auto"/>
                <w:kern w:val="0"/>
                <w:sz w:val="21"/>
                <w:szCs w:val="21"/>
                <w:lang w:val="en-US" w:eastAsia="zh-CN"/>
              </w:rPr>
              <w:t>表5-</w:t>
            </w:r>
            <w:r>
              <w:rPr>
                <w:rFonts w:hint="eastAsia" w:cs="Times New Roman"/>
                <w:b/>
                <w:bCs w:val="0"/>
                <w:color w:val="auto"/>
                <w:kern w:val="0"/>
                <w:sz w:val="21"/>
                <w:szCs w:val="21"/>
                <w:lang w:val="en-US" w:eastAsia="zh-CN"/>
              </w:rPr>
              <w:t>3</w:t>
            </w:r>
            <w:r>
              <w:rPr>
                <w:rFonts w:hint="eastAsia" w:eastAsia="宋体" w:cs="Times New Roman"/>
                <w:b/>
                <w:bCs w:val="0"/>
                <w:color w:val="auto"/>
                <w:kern w:val="0"/>
                <w:sz w:val="21"/>
                <w:szCs w:val="21"/>
                <w:lang w:val="en-US" w:eastAsia="zh-CN"/>
              </w:rPr>
              <w:t xml:space="preserve"> 水质</w:t>
            </w:r>
            <w:r>
              <w:rPr>
                <w:rFonts w:hint="default" w:ascii="Times New Roman" w:hAnsi="Times New Roman" w:eastAsia="宋体" w:cs="Times New Roman"/>
                <w:b/>
                <w:bCs w:val="0"/>
                <w:color w:val="auto"/>
                <w:kern w:val="0"/>
                <w:sz w:val="21"/>
                <w:szCs w:val="21"/>
                <w:lang w:val="en-US" w:eastAsia="zh-CN"/>
              </w:rPr>
              <w:t>平行样检查</w:t>
            </w:r>
            <w:r>
              <w:rPr>
                <w:rFonts w:hint="eastAsia" w:eastAsia="宋体" w:cs="Times New Roman"/>
                <w:b/>
                <w:bCs w:val="0"/>
                <w:color w:val="auto"/>
                <w:kern w:val="0"/>
                <w:sz w:val="21"/>
                <w:szCs w:val="21"/>
                <w:lang w:val="en-US" w:eastAsia="zh-CN"/>
              </w:rPr>
              <w:t>与质控样</w:t>
            </w:r>
            <w:r>
              <w:rPr>
                <w:rFonts w:hint="default" w:ascii="Times New Roman" w:hAnsi="Times New Roman" w:eastAsia="宋体" w:cs="Times New Roman"/>
                <w:b/>
                <w:bCs w:val="0"/>
                <w:color w:val="auto"/>
                <w:kern w:val="0"/>
                <w:sz w:val="21"/>
                <w:szCs w:val="21"/>
                <w:lang w:val="en-US" w:eastAsia="zh-CN"/>
              </w:rPr>
              <w:t>数据记录表</w:t>
            </w:r>
          </w:p>
          <w:tbl>
            <w:tblPr>
              <w:tblStyle w:val="33"/>
              <w:tblW w:w="49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217"/>
              <w:gridCol w:w="1355"/>
              <w:gridCol w:w="348"/>
              <w:gridCol w:w="995"/>
              <w:gridCol w:w="691"/>
              <w:gridCol w:w="640"/>
              <w:gridCol w:w="1075"/>
              <w:gridCol w:w="640"/>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现场平行样结果评价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分析项目</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样品浓度（mg/L）</w:t>
                  </w:r>
                </w:p>
              </w:tc>
              <w:tc>
                <w:tcPr>
                  <w:tcW w:w="98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相对偏差%</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允许相对偏差%</w:t>
                  </w:r>
                </w:p>
              </w:tc>
              <w:tc>
                <w:tcPr>
                  <w:tcW w:w="103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化学需氧量</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bidi="ar-SA"/>
                    </w:rPr>
                    <w:t>148</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1.02</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bidi="ar-SA"/>
                    </w:rPr>
                    <w:t>145</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FF0000"/>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FF0000"/>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实验室平行样结果评价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分析项目</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样品浓度（mg/L）</w:t>
                  </w:r>
                </w:p>
              </w:tc>
              <w:tc>
                <w:tcPr>
                  <w:tcW w:w="98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相对偏差%</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允许相对偏差%</w:t>
                  </w:r>
                </w:p>
              </w:tc>
              <w:tc>
                <w:tcPr>
                  <w:tcW w:w="103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总磷</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1.50</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0.33 </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1.49</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1.49</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0.34</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1.48</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化学需氧量</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161</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1.26</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157</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氨氮</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23.1</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23.1</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23.1</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23.1</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1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质控样结果评价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分析项目</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自配标液浓度（mg/L）</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测定浓度</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（mg/L）</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bidi="ar-SA"/>
                    </w:rPr>
                    <w:t>相对误差%</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允许相对误差</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w:t>
                  </w:r>
                </w:p>
              </w:tc>
              <w:tc>
                <w:tcPr>
                  <w:tcW w:w="65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氨氮</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1.00</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1.02</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2.00</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color w:val="auto"/>
                      <w:sz w:val="21"/>
                      <w:szCs w:val="21"/>
                      <w:lang w:val="en-US" w:eastAsia="zh-CN"/>
                    </w:rPr>
                    <w:t>5</w:t>
                  </w:r>
                </w:p>
              </w:tc>
              <w:tc>
                <w:tcPr>
                  <w:tcW w:w="65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总磷</w:t>
                  </w:r>
                </w:p>
              </w:tc>
              <w:tc>
                <w:tcPr>
                  <w:tcW w:w="921"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0.800</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0.778</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-2.80</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color w:val="auto"/>
                      <w:sz w:val="21"/>
                      <w:szCs w:val="21"/>
                      <w:lang w:val="en-US" w:eastAsia="zh-CN"/>
                    </w:rPr>
                    <w:t>5</w:t>
                  </w:r>
                </w:p>
              </w:tc>
              <w:tc>
                <w:tcPr>
                  <w:tcW w:w="65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21"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0.771</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-3.60</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color w:val="auto"/>
                      <w:sz w:val="21"/>
                      <w:szCs w:val="21"/>
                      <w:lang w:val="en-US" w:eastAsia="zh-CN"/>
                    </w:rPr>
                    <w:t>5</w:t>
                  </w:r>
                </w:p>
              </w:tc>
              <w:tc>
                <w:tcPr>
                  <w:tcW w:w="65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化学需氧量</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500</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513</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2.60</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color w:val="auto"/>
                      <w:sz w:val="21"/>
                      <w:szCs w:val="21"/>
                      <w:lang w:val="en-US" w:eastAsia="zh-CN"/>
                    </w:rPr>
                    <w:t>5</w:t>
                  </w:r>
                </w:p>
              </w:tc>
              <w:tc>
                <w:tcPr>
                  <w:tcW w:w="65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bl>
          <w:p>
            <w:pPr>
              <w:keepNext w:val="0"/>
              <w:keepLines w:val="0"/>
              <w:pageBreakBefore w:val="0"/>
              <w:widowControl/>
              <w:numPr>
                <w:ilvl w:val="0"/>
                <w:numId w:val="0"/>
              </w:numPr>
              <w:kinsoku/>
              <w:wordWrap/>
              <w:overflowPunct/>
              <w:topLinePunct w:val="0"/>
              <w:autoSpaceDE/>
              <w:autoSpaceDN/>
              <w:bidi w:val="0"/>
              <w:adjustRightInd/>
              <w:snapToGrid/>
              <w:spacing w:line="240" w:lineRule="auto"/>
              <w:ind w:leftChars="0"/>
              <w:jc w:val="center"/>
              <w:textAlignment w:val="auto"/>
              <w:rPr>
                <w:rFonts w:hint="eastAsia" w:eastAsia="宋体" w:cs="Times New Roman"/>
                <w:b/>
                <w:bCs w:val="0"/>
                <w:color w:val="auto"/>
                <w:kern w:val="0"/>
                <w:sz w:val="21"/>
                <w:szCs w:val="21"/>
                <w:lang w:val="en-US" w:eastAsia="zh-CN"/>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jc w:val="center"/>
              <w:textAlignment w:val="auto"/>
              <w:rPr>
                <w:rFonts w:hint="default"/>
                <w:lang w:val="en-US" w:eastAsia="zh-CN"/>
              </w:rPr>
            </w:pPr>
            <w:r>
              <w:rPr>
                <w:rFonts w:hint="eastAsia" w:eastAsia="宋体" w:cs="Times New Roman"/>
                <w:b/>
                <w:bCs w:val="0"/>
                <w:color w:val="auto"/>
                <w:kern w:val="0"/>
                <w:sz w:val="21"/>
                <w:szCs w:val="21"/>
                <w:lang w:val="en-US" w:eastAsia="zh-CN"/>
              </w:rPr>
              <w:t>表5-</w:t>
            </w:r>
            <w:r>
              <w:rPr>
                <w:rFonts w:hint="eastAsia" w:cs="Times New Roman"/>
                <w:b/>
                <w:bCs w:val="0"/>
                <w:color w:val="auto"/>
                <w:kern w:val="0"/>
                <w:sz w:val="21"/>
                <w:szCs w:val="21"/>
                <w:lang w:val="en-US" w:eastAsia="zh-CN"/>
              </w:rPr>
              <w:t>4</w:t>
            </w:r>
            <w:r>
              <w:rPr>
                <w:rFonts w:hint="eastAsia" w:eastAsia="宋体" w:cs="Times New Roman"/>
                <w:b/>
                <w:bCs w:val="0"/>
                <w:color w:val="auto"/>
                <w:kern w:val="0"/>
                <w:sz w:val="21"/>
                <w:szCs w:val="21"/>
                <w:lang w:val="en-US" w:eastAsia="zh-CN"/>
              </w:rPr>
              <w:t xml:space="preserve"> 废气</w:t>
            </w:r>
            <w:r>
              <w:rPr>
                <w:rFonts w:hint="default" w:ascii="Times New Roman" w:hAnsi="Times New Roman" w:eastAsia="宋体" w:cs="Times New Roman"/>
                <w:b/>
                <w:bCs w:val="0"/>
                <w:color w:val="auto"/>
                <w:kern w:val="0"/>
                <w:sz w:val="21"/>
                <w:szCs w:val="21"/>
                <w:lang w:val="en-US" w:eastAsia="zh-CN"/>
              </w:rPr>
              <w:t>平行样检查</w:t>
            </w:r>
            <w:r>
              <w:rPr>
                <w:rFonts w:hint="eastAsia" w:eastAsia="宋体" w:cs="Times New Roman"/>
                <w:b/>
                <w:bCs w:val="0"/>
                <w:color w:val="auto"/>
                <w:kern w:val="0"/>
                <w:sz w:val="21"/>
                <w:szCs w:val="21"/>
                <w:lang w:val="en-US" w:eastAsia="zh-CN"/>
              </w:rPr>
              <w:t>与质控样</w:t>
            </w:r>
            <w:r>
              <w:rPr>
                <w:rFonts w:hint="default" w:ascii="Times New Roman" w:hAnsi="Times New Roman" w:eastAsia="宋体" w:cs="Times New Roman"/>
                <w:b/>
                <w:bCs w:val="0"/>
                <w:color w:val="auto"/>
                <w:kern w:val="0"/>
                <w:sz w:val="21"/>
                <w:szCs w:val="21"/>
                <w:lang w:val="en-US" w:eastAsia="zh-CN"/>
              </w:rPr>
              <w:t>数据记录表</w:t>
            </w:r>
          </w:p>
          <w:tbl>
            <w:tblPr>
              <w:tblStyle w:val="33"/>
              <w:tblW w:w="49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217"/>
              <w:gridCol w:w="1355"/>
              <w:gridCol w:w="348"/>
              <w:gridCol w:w="995"/>
              <w:gridCol w:w="691"/>
              <w:gridCol w:w="640"/>
              <w:gridCol w:w="1075"/>
              <w:gridCol w:w="640"/>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实验室平行样结果评价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分析项目</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样品浓度</w:t>
                  </w:r>
                  <w:r>
                    <w:rPr>
                      <w:rFonts w:hint="eastAsia" w:cs="Times New Roman"/>
                      <w:b/>
                      <w:bCs w:val="0"/>
                      <w:color w:val="auto"/>
                      <w:kern w:val="0"/>
                      <w:sz w:val="21"/>
                      <w:szCs w:val="21"/>
                      <w:vertAlign w:val="baseline"/>
                      <w:lang w:val="en-US" w:eastAsia="zh-CN"/>
                    </w:rPr>
                    <w:t>（</w:t>
                  </w:r>
                  <w:r>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t>mg/m</w:t>
                  </w:r>
                  <w:r>
                    <w:rPr>
                      <w:rFonts w:hint="default" w:ascii="Times New Roman" w:hAnsi="Times New Roman" w:eastAsia="宋体" w:cs="Times New Roman"/>
                      <w:b w:val="0"/>
                      <w:bCs/>
                      <w:color w:val="000000" w:themeColor="text1"/>
                      <w:kern w:val="0"/>
                      <w:sz w:val="21"/>
                      <w:szCs w:val="21"/>
                      <w:vertAlign w:val="superscript"/>
                      <w:lang w:val="en-US" w:eastAsia="zh-CN"/>
                      <w14:textFill>
                        <w14:solidFill>
                          <w14:schemeClr w14:val="tx1"/>
                        </w14:solidFill>
                      </w14:textFill>
                    </w:rPr>
                    <w:t>3</w:t>
                  </w:r>
                  <w:r>
                    <w:rPr>
                      <w:rFonts w:hint="eastAsia" w:ascii="Times New Roman" w:hAnsi="Times New Roman" w:cs="Times New Roman"/>
                      <w:b/>
                      <w:bCs w:val="0"/>
                      <w:color w:val="000000" w:themeColor="text1"/>
                      <w:kern w:val="0"/>
                      <w:sz w:val="21"/>
                      <w:szCs w:val="21"/>
                      <w:vertAlign w:val="baseline"/>
                      <w:lang w:val="en-US" w:eastAsia="zh-CN"/>
                      <w14:textFill>
                        <w14:solidFill>
                          <w14:schemeClr w14:val="tx1"/>
                        </w14:solidFill>
                      </w14:textFill>
                    </w:rPr>
                    <w:t>）</w:t>
                  </w:r>
                </w:p>
              </w:tc>
              <w:tc>
                <w:tcPr>
                  <w:tcW w:w="98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相对偏差%</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允许相对偏差%</w:t>
                  </w:r>
                </w:p>
              </w:tc>
              <w:tc>
                <w:tcPr>
                  <w:tcW w:w="103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auto"/>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非甲烷总烃</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1.22</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4.72</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20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1.11</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0.70</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2.10</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20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0.73</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1.20</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bidi="ar-SA"/>
                    </w:rPr>
                    <w:t>3.90</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20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1.11</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锡</w:t>
                  </w: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kern w:val="2"/>
                      <w:sz w:val="24"/>
                      <w:szCs w:val="22"/>
                    </w:rPr>
                    <w:t>&lt;1</w:t>
                  </w:r>
                  <w:r>
                    <w:rPr>
                      <w:rFonts w:ascii="Times New Roman" w:hAnsi="Times New Roman" w:eastAsia="宋体"/>
                      <w:kern w:val="2"/>
                      <w:sz w:val="24"/>
                      <w:szCs w:val="24"/>
                    </w:rPr>
                    <w:t>×10</w:t>
                  </w:r>
                  <w:r>
                    <w:rPr>
                      <w:rFonts w:ascii="Times New Roman" w:hAnsi="Times New Roman" w:eastAsia="宋体"/>
                      <w:kern w:val="2"/>
                      <w:sz w:val="24"/>
                      <w:szCs w:val="24"/>
                      <w:vertAlign w:val="superscript"/>
                    </w:rPr>
                    <w:t>-</w:t>
                  </w:r>
                  <w:r>
                    <w:rPr>
                      <w:rFonts w:hint="eastAsia" w:ascii="Times New Roman" w:hAnsi="Times New Roman" w:eastAsia="宋体"/>
                      <w:kern w:val="2"/>
                      <w:sz w:val="24"/>
                      <w:szCs w:val="24"/>
                      <w:vertAlign w:val="superscript"/>
                      <w:lang w:val="en-US" w:eastAsia="zh-CN"/>
                    </w:rPr>
                    <w:t>5</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kern w:val="2"/>
                      <w:sz w:val="24"/>
                      <w:szCs w:val="22"/>
                    </w:rPr>
                    <w:t>&lt;1</w:t>
                  </w:r>
                  <w:r>
                    <w:rPr>
                      <w:rFonts w:ascii="Times New Roman" w:hAnsi="Times New Roman" w:eastAsia="宋体"/>
                      <w:kern w:val="2"/>
                      <w:sz w:val="24"/>
                      <w:szCs w:val="24"/>
                    </w:rPr>
                    <w:t>×10</w:t>
                  </w:r>
                  <w:r>
                    <w:rPr>
                      <w:rFonts w:ascii="Times New Roman" w:hAnsi="Times New Roman" w:eastAsia="宋体"/>
                      <w:kern w:val="2"/>
                      <w:sz w:val="24"/>
                      <w:szCs w:val="24"/>
                      <w:vertAlign w:val="superscript"/>
                    </w:rPr>
                    <w:t>-</w:t>
                  </w:r>
                  <w:r>
                    <w:rPr>
                      <w:rFonts w:hint="eastAsia" w:ascii="Times New Roman" w:hAnsi="Times New Roman" w:eastAsia="宋体"/>
                      <w:kern w:val="2"/>
                      <w:sz w:val="24"/>
                      <w:szCs w:val="24"/>
                      <w:vertAlign w:val="superscript"/>
                      <w:lang w:val="en-US" w:eastAsia="zh-CN"/>
                    </w:rPr>
                    <w:t>5</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kern w:val="2"/>
                      <w:sz w:val="24"/>
                      <w:szCs w:val="22"/>
                    </w:rPr>
                    <w:t>&lt;1</w:t>
                  </w:r>
                  <w:r>
                    <w:rPr>
                      <w:rFonts w:ascii="Times New Roman" w:hAnsi="Times New Roman" w:eastAsia="宋体"/>
                      <w:kern w:val="2"/>
                      <w:sz w:val="24"/>
                      <w:szCs w:val="24"/>
                    </w:rPr>
                    <w:t>×10</w:t>
                  </w:r>
                  <w:r>
                    <w:rPr>
                      <w:rFonts w:ascii="Times New Roman" w:hAnsi="Times New Roman" w:eastAsia="宋体"/>
                      <w:kern w:val="2"/>
                      <w:sz w:val="24"/>
                      <w:szCs w:val="24"/>
                      <w:vertAlign w:val="superscript"/>
                    </w:rPr>
                    <w:t>-</w:t>
                  </w:r>
                  <w:r>
                    <w:rPr>
                      <w:rFonts w:hint="eastAsia" w:ascii="Times New Roman" w:hAnsi="Times New Roman" w:eastAsia="宋体"/>
                      <w:kern w:val="2"/>
                      <w:sz w:val="24"/>
                      <w:szCs w:val="24"/>
                      <w:vertAlign w:val="superscript"/>
                      <w:lang w:val="en-US" w:eastAsia="zh-CN"/>
                    </w:rPr>
                    <w:t>5</w:t>
                  </w:r>
                </w:p>
              </w:tc>
              <w:tc>
                <w:tcPr>
                  <w:tcW w:w="988" w:type="pct"/>
                  <w:gridSpan w:val="2"/>
                  <w:vMerge w:val="restart"/>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kern w:val="2"/>
                      <w:sz w:val="24"/>
                      <w:szCs w:val="22"/>
                    </w:rPr>
                    <w:t>&lt;1</w:t>
                  </w:r>
                  <w:r>
                    <w:rPr>
                      <w:rFonts w:ascii="Times New Roman" w:hAnsi="Times New Roman" w:eastAsia="宋体"/>
                      <w:kern w:val="2"/>
                      <w:sz w:val="24"/>
                      <w:szCs w:val="24"/>
                    </w:rPr>
                    <w:t>×10</w:t>
                  </w:r>
                  <w:r>
                    <w:rPr>
                      <w:rFonts w:ascii="Times New Roman" w:hAnsi="Times New Roman" w:eastAsia="宋体"/>
                      <w:kern w:val="2"/>
                      <w:sz w:val="24"/>
                      <w:szCs w:val="24"/>
                      <w:vertAlign w:val="superscript"/>
                    </w:rPr>
                    <w:t>-</w:t>
                  </w:r>
                  <w:r>
                    <w:rPr>
                      <w:rFonts w:hint="eastAsia" w:ascii="Times New Roman" w:hAnsi="Times New Roman" w:eastAsia="宋体"/>
                      <w:kern w:val="2"/>
                      <w:sz w:val="24"/>
                      <w:szCs w:val="24"/>
                      <w:vertAlign w:val="superscript"/>
                      <w:lang w:val="en-US" w:eastAsia="zh-CN"/>
                    </w:rPr>
                    <w:t>5</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rPr>
                  </w:pPr>
                  <w:r>
                    <w:rPr>
                      <w:rFonts w:hint="eastAsia" w:ascii="Times New Roman" w:hAnsi="Times New Roman" w:eastAsia="宋体"/>
                      <w:kern w:val="2"/>
                      <w:sz w:val="24"/>
                      <w:szCs w:val="22"/>
                    </w:rPr>
                    <w:t>&lt;1</w:t>
                  </w:r>
                  <w:r>
                    <w:rPr>
                      <w:rFonts w:ascii="Times New Roman" w:hAnsi="Times New Roman" w:eastAsia="宋体"/>
                      <w:kern w:val="2"/>
                      <w:sz w:val="24"/>
                      <w:szCs w:val="24"/>
                    </w:rPr>
                    <w:t>×10</w:t>
                  </w:r>
                  <w:r>
                    <w:rPr>
                      <w:rFonts w:ascii="Times New Roman" w:hAnsi="Times New Roman" w:eastAsia="宋体"/>
                      <w:kern w:val="2"/>
                      <w:sz w:val="24"/>
                      <w:szCs w:val="24"/>
                      <w:vertAlign w:val="superscript"/>
                    </w:rPr>
                    <w:t>-</w:t>
                  </w:r>
                  <w:r>
                    <w:rPr>
                      <w:rFonts w:hint="eastAsia" w:ascii="Times New Roman" w:hAnsi="Times New Roman" w:eastAsia="宋体"/>
                      <w:kern w:val="2"/>
                      <w:sz w:val="24"/>
                      <w:szCs w:val="24"/>
                      <w:vertAlign w:val="superscript"/>
                      <w:lang w:val="en-US" w:eastAsia="zh-CN"/>
                    </w:rPr>
                    <w:t>5</w:t>
                  </w:r>
                </w:p>
              </w:tc>
              <w:tc>
                <w:tcPr>
                  <w:tcW w:w="988"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w:t>
                  </w:r>
                </w:p>
              </w:tc>
              <w:tc>
                <w:tcPr>
                  <w:tcW w:w="1005"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w:t>
                  </w:r>
                  <w:r>
                    <w:rPr>
                      <w:rFonts w:hint="default" w:ascii="Times New Roman" w:hAnsi="Times New Roman" w:eastAsia="宋体" w:cs="Times New Roman"/>
                      <w:b w:val="0"/>
                      <w:bCs/>
                      <w:color w:val="auto"/>
                      <w:kern w:val="0"/>
                      <w:sz w:val="21"/>
                      <w:szCs w:val="21"/>
                      <w:vertAlign w:val="baseline"/>
                      <w:lang w:val="en-US" w:eastAsia="zh-CN"/>
                    </w:rPr>
                    <w:t>10</w:t>
                  </w:r>
                </w:p>
              </w:tc>
              <w:tc>
                <w:tcPr>
                  <w:tcW w:w="1030" w:type="pct"/>
                  <w:gridSpan w:val="2"/>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8"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998"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rPr>
                  </w:pPr>
                  <w:r>
                    <w:rPr>
                      <w:rFonts w:hint="eastAsia" w:ascii="Times New Roman" w:hAnsi="Times New Roman" w:eastAsia="宋体"/>
                      <w:kern w:val="2"/>
                      <w:sz w:val="24"/>
                      <w:szCs w:val="22"/>
                    </w:rPr>
                    <w:t>&lt;1</w:t>
                  </w:r>
                  <w:r>
                    <w:rPr>
                      <w:rFonts w:ascii="Times New Roman" w:hAnsi="Times New Roman" w:eastAsia="宋体"/>
                      <w:kern w:val="2"/>
                      <w:sz w:val="24"/>
                      <w:szCs w:val="24"/>
                    </w:rPr>
                    <w:t>×10</w:t>
                  </w:r>
                  <w:r>
                    <w:rPr>
                      <w:rFonts w:ascii="Times New Roman" w:hAnsi="Times New Roman" w:eastAsia="宋体"/>
                      <w:kern w:val="2"/>
                      <w:sz w:val="24"/>
                      <w:szCs w:val="24"/>
                      <w:vertAlign w:val="superscript"/>
                    </w:rPr>
                    <w:t>-</w:t>
                  </w:r>
                  <w:r>
                    <w:rPr>
                      <w:rFonts w:hint="eastAsia" w:ascii="Times New Roman" w:hAnsi="Times New Roman" w:eastAsia="宋体"/>
                      <w:kern w:val="2"/>
                      <w:sz w:val="24"/>
                      <w:szCs w:val="24"/>
                      <w:vertAlign w:val="superscript"/>
                      <w:lang w:val="en-US" w:eastAsia="zh-CN"/>
                    </w:rPr>
                    <w:t>5</w:t>
                  </w:r>
                </w:p>
              </w:tc>
              <w:tc>
                <w:tcPr>
                  <w:tcW w:w="988"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05"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c>
                <w:tcPr>
                  <w:tcW w:w="1030" w:type="pct"/>
                  <w:gridSpan w:val="2"/>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1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bCs w:val="0"/>
                      <w:color w:val="auto"/>
                      <w:kern w:val="0"/>
                      <w:sz w:val="21"/>
                      <w:szCs w:val="21"/>
                      <w:vertAlign w:val="baseline"/>
                      <w:lang w:val="en-US" w:eastAsia="zh-CN"/>
                    </w:rPr>
                    <w:t>质控样结果评价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14:textFill>
                        <w14:solidFill>
                          <w14:schemeClr w14:val="tx1"/>
                        </w14:solidFill>
                      </w14:textFill>
                    </w:rPr>
                    <w:t>分析项目</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14:textFill>
                        <w14:solidFill>
                          <w14:schemeClr w14:val="tx1"/>
                        </w14:solidFill>
                      </w14:textFill>
                    </w:rPr>
                    <w:t>理论值（</w:t>
                  </w:r>
                  <w:r>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t>mg/m</w:t>
                  </w:r>
                  <w:r>
                    <w:rPr>
                      <w:rFonts w:hint="default" w:ascii="Times New Roman" w:hAnsi="Times New Roman" w:eastAsia="宋体" w:cs="Times New Roman"/>
                      <w:b w:val="0"/>
                      <w:bCs/>
                      <w:color w:val="000000" w:themeColor="text1"/>
                      <w:kern w:val="0"/>
                      <w:sz w:val="21"/>
                      <w:szCs w:val="21"/>
                      <w:vertAlign w:val="superscript"/>
                      <w:lang w:val="en-US" w:eastAsia="zh-CN"/>
                      <w14:textFill>
                        <w14:solidFill>
                          <w14:schemeClr w14:val="tx1"/>
                        </w14:solidFill>
                      </w14:textFill>
                    </w:rPr>
                    <w:t>3</w:t>
                  </w:r>
                  <w:r>
                    <w:rPr>
                      <w:rFonts w:hint="default" w:ascii="Times New Roman" w:hAnsi="Times New Roman" w:eastAsia="宋体" w:cs="Times New Roman"/>
                      <w:b/>
                      <w:bCs w:val="0"/>
                      <w:color w:val="000000" w:themeColor="text1"/>
                      <w:kern w:val="0"/>
                      <w:sz w:val="21"/>
                      <w:szCs w:val="21"/>
                      <w:vertAlign w:val="baseline"/>
                      <w:lang w:val="en-US" w:eastAsia="zh-CN"/>
                      <w14:textFill>
                        <w14:solidFill>
                          <w14:schemeClr w14:val="tx1"/>
                        </w14:solidFill>
                      </w14:textFill>
                    </w:rPr>
                    <w:t>）</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14:textFill>
                        <w14:solidFill>
                          <w14:schemeClr w14:val="tx1"/>
                        </w14:solidFill>
                      </w14:textFill>
                    </w:rPr>
                    <w:t>测定浓度（</w:t>
                  </w:r>
                  <w:r>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t>mg/m</w:t>
                  </w:r>
                  <w:r>
                    <w:rPr>
                      <w:rFonts w:hint="default" w:ascii="Times New Roman" w:hAnsi="Times New Roman" w:eastAsia="宋体" w:cs="Times New Roman"/>
                      <w:b w:val="0"/>
                      <w:bCs/>
                      <w:color w:val="000000" w:themeColor="text1"/>
                      <w:kern w:val="0"/>
                      <w:sz w:val="21"/>
                      <w:szCs w:val="21"/>
                      <w:vertAlign w:val="superscript"/>
                      <w:lang w:val="en-US" w:eastAsia="zh-CN"/>
                      <w14:textFill>
                        <w14:solidFill>
                          <w14:schemeClr w14:val="tx1"/>
                        </w14:solidFill>
                      </w14:textFill>
                    </w:rPr>
                    <w:t>3</w:t>
                  </w:r>
                  <w:r>
                    <w:rPr>
                      <w:rFonts w:hint="default" w:ascii="Times New Roman" w:hAnsi="Times New Roman" w:eastAsia="宋体" w:cs="Times New Roman"/>
                      <w:b/>
                      <w:bCs w:val="0"/>
                      <w:color w:val="000000" w:themeColor="text1"/>
                      <w:kern w:val="0"/>
                      <w:sz w:val="21"/>
                      <w:szCs w:val="21"/>
                      <w:vertAlign w:val="baseline"/>
                      <w:lang w:val="en-US" w:eastAsia="zh-CN"/>
                      <w14:textFill>
                        <w14:solidFill>
                          <w14:schemeClr w14:val="tx1"/>
                        </w14:solidFill>
                      </w14:textFill>
                    </w:rPr>
                    <w:t>）</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000000" w:themeColor="text1"/>
                      <w:kern w:val="0"/>
                      <w:sz w:val="21"/>
                      <w:szCs w:val="21"/>
                      <w:vertAlign w:val="baseline"/>
                      <w:lang w:val="en-US" w:eastAsia="zh-CN" w:bidi="ar-SA"/>
                      <w14:textFill>
                        <w14:solidFill>
                          <w14:schemeClr w14:val="tx1"/>
                        </w14:solidFill>
                      </w14:textFill>
                    </w:rPr>
                    <w:t>相对误差</w:t>
                  </w:r>
                  <w:r>
                    <w:rPr>
                      <w:rFonts w:hint="default" w:ascii="Times New Roman" w:hAnsi="Times New Roman" w:eastAsia="宋体" w:cs="Times New Roman"/>
                      <w:b/>
                      <w:bCs w:val="0"/>
                      <w:color w:val="000000" w:themeColor="text1"/>
                      <w:kern w:val="0"/>
                      <w:sz w:val="21"/>
                      <w:szCs w:val="21"/>
                      <w:vertAlign w:val="baseline"/>
                      <w:lang w:val="en-US" w:eastAsia="zh-CN"/>
                      <w14:textFill>
                        <w14:solidFill>
                          <w14:schemeClr w14:val="tx1"/>
                        </w14:solidFill>
                      </w14:textFill>
                    </w:rPr>
                    <w:t>%</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bidi="ar-SA"/>
                    </w:rPr>
                  </w:pPr>
                  <w:r>
                    <w:rPr>
                      <w:rFonts w:hint="default" w:ascii="Times New Roman" w:hAnsi="Times New Roman" w:eastAsia="宋体" w:cs="Times New Roman"/>
                      <w:b/>
                      <w:bCs w:val="0"/>
                      <w:color w:val="000000" w:themeColor="text1"/>
                      <w:spacing w:val="-20"/>
                      <w:kern w:val="0"/>
                      <w:sz w:val="21"/>
                      <w:szCs w:val="21"/>
                      <w:vertAlign w:val="baseline"/>
                      <w:lang w:val="en-US" w:eastAsia="zh-CN"/>
                      <w14:textFill>
                        <w14:solidFill>
                          <w14:schemeClr w14:val="tx1"/>
                        </w14:solidFill>
                      </w14:textFill>
                    </w:rPr>
                    <w:t>允许相对</w:t>
                  </w:r>
                  <w:r>
                    <w:rPr>
                      <w:rFonts w:hint="default" w:ascii="Times New Roman" w:hAnsi="Times New Roman" w:eastAsia="宋体" w:cs="Times New Roman"/>
                      <w:b/>
                      <w:bCs w:val="0"/>
                      <w:color w:val="auto"/>
                      <w:spacing w:val="-20"/>
                      <w:kern w:val="0"/>
                      <w:sz w:val="21"/>
                      <w:szCs w:val="21"/>
                      <w:vertAlign w:val="baseline"/>
                      <w:lang w:val="en-US" w:eastAsia="zh-CN" w:bidi="ar-SA"/>
                    </w:rPr>
                    <w:t>误差</w:t>
                  </w:r>
                  <w:r>
                    <w:rPr>
                      <w:rFonts w:hint="default" w:ascii="Times New Roman" w:hAnsi="Times New Roman" w:eastAsia="宋体" w:cs="Times New Roman"/>
                      <w:b/>
                      <w:bCs w:val="0"/>
                      <w:color w:val="000000" w:themeColor="text1"/>
                      <w:spacing w:val="-20"/>
                      <w:kern w:val="0"/>
                      <w:sz w:val="21"/>
                      <w:szCs w:val="21"/>
                      <w:vertAlign w:val="baseline"/>
                      <w:lang w:val="en-US" w:eastAsia="zh-CN"/>
                      <w14:textFill>
                        <w14:solidFill>
                          <w14:schemeClr w14:val="tx1"/>
                        </w14:solidFill>
                      </w14:textFill>
                    </w:rPr>
                    <w:t>%</w:t>
                  </w:r>
                </w:p>
              </w:tc>
              <w:tc>
                <w:tcPr>
                  <w:tcW w:w="65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default" w:ascii="Times New Roman" w:hAnsi="Times New Roman" w:eastAsia="宋体" w:cs="Times New Roman"/>
                      <w:b/>
                      <w:bCs w:val="0"/>
                      <w:color w:val="000000" w:themeColor="text1"/>
                      <w:kern w:val="0"/>
                      <w:sz w:val="21"/>
                      <w:szCs w:val="21"/>
                      <w:vertAlign w:val="baseline"/>
                      <w:lang w:val="en-US" w:eastAsia="zh-CN"/>
                      <w14:textFill>
                        <w14:solidFill>
                          <w14:schemeClr w14:val="tx1"/>
                        </w14:solidFill>
                      </w14:textFill>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总烃</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14.44</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14.36</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-0.55</w:t>
                  </w:r>
                </w:p>
              </w:tc>
              <w:tc>
                <w:tcPr>
                  <w:tcW w:w="1005"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±10</w:t>
                  </w:r>
                </w:p>
              </w:tc>
              <w:tc>
                <w:tcPr>
                  <w:tcW w:w="65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rPr>
                    <w:t>总烃</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rPr>
                    <w:t>14.44</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14.04</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-2.77</w:t>
                  </w:r>
                </w:p>
              </w:tc>
              <w:tc>
                <w:tcPr>
                  <w:tcW w:w="171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w:t>
                  </w:r>
                </w:p>
              </w:tc>
              <w:tc>
                <w:tcPr>
                  <w:tcW w:w="1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甲烷</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14.44</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14.34</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-0.69</w:t>
                  </w:r>
                </w:p>
              </w:tc>
              <w:tc>
                <w:tcPr>
                  <w:tcW w:w="171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sz w:val="21"/>
                      <w:szCs w:val="21"/>
                      <w:lang w:val="en-US" w:eastAsia="zh-CN"/>
                    </w:rPr>
                    <w:t>±10</w:t>
                  </w:r>
                </w:p>
              </w:tc>
              <w:tc>
                <w:tcPr>
                  <w:tcW w:w="1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rPr>
                    <w:t>甲烷</w:t>
                  </w:r>
                </w:p>
              </w:tc>
              <w:tc>
                <w:tcPr>
                  <w:tcW w:w="921"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default" w:ascii="Times New Roman" w:hAnsi="Times New Roman" w:eastAsia="宋体" w:cs="Times New Roman"/>
                      <w:b w:val="0"/>
                      <w:bCs/>
                      <w:color w:val="auto"/>
                      <w:kern w:val="0"/>
                      <w:sz w:val="21"/>
                      <w:szCs w:val="21"/>
                      <w:vertAlign w:val="baseline"/>
                      <w:lang w:val="en-US" w:eastAsia="zh-CN"/>
                    </w:rPr>
                    <w:t>14.44</w:t>
                  </w:r>
                </w:p>
              </w:tc>
              <w:tc>
                <w:tcPr>
                  <w:tcW w:w="787"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14.03</w:t>
                  </w:r>
                </w:p>
              </w:tc>
              <w:tc>
                <w:tcPr>
                  <w:tcW w:w="780" w:type="pct"/>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b w:val="0"/>
                      <w:bCs/>
                      <w:color w:val="auto"/>
                      <w:kern w:val="0"/>
                      <w:sz w:val="21"/>
                      <w:szCs w:val="21"/>
                      <w:vertAlign w:val="baseline"/>
                      <w:lang w:val="en-US" w:eastAsia="zh-CN"/>
                    </w:rPr>
                    <w:t>-2.84</w:t>
                  </w:r>
                </w:p>
              </w:tc>
              <w:tc>
                <w:tcPr>
                  <w:tcW w:w="1715"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w:t>
                  </w:r>
                </w:p>
              </w:tc>
              <w:tc>
                <w:tcPr>
                  <w:tcW w:w="1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firstLine="0" w:firstLineChars="0"/>
                    <w:jc w:val="center"/>
                    <w:textAlignment w:val="auto"/>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vertAlign w:val="baseline"/>
                      <w:lang w:val="en-US" w:eastAsia="zh-CN"/>
                      <w14:textFill>
                        <w14:solidFill>
                          <w14:schemeClr w14:val="tx1"/>
                        </w14:solidFill>
                      </w14:textFill>
                    </w:rPr>
                    <w:t>符合</w:t>
                  </w:r>
                </w:p>
              </w:tc>
            </w:tr>
          </w:tbl>
          <w:p>
            <w:pPr>
              <w:keepNext w:val="0"/>
              <w:keepLines w:val="0"/>
              <w:pageBreakBefore w:val="0"/>
              <w:widowControl/>
              <w:kinsoku/>
              <w:wordWrap/>
              <w:overflowPunct/>
              <w:topLinePunct w:val="0"/>
              <w:autoSpaceDE/>
              <w:autoSpaceDN/>
              <w:bidi w:val="0"/>
              <w:adjustRightInd/>
              <w:snapToGrid/>
              <w:spacing w:line="360" w:lineRule="auto"/>
              <w:jc w:val="center"/>
              <w:textAlignment w:val="auto"/>
              <w:rPr>
                <w:color w:val="auto"/>
                <w:sz w:val="24"/>
                <w:szCs w:val="21"/>
              </w:rPr>
            </w:pPr>
            <w:r>
              <w:rPr>
                <w:b/>
                <w:color w:val="auto"/>
                <w:sz w:val="21"/>
                <w:szCs w:val="21"/>
              </w:rPr>
              <w:t>表</w:t>
            </w:r>
            <w:r>
              <w:rPr>
                <w:rFonts w:hint="eastAsia"/>
                <w:b/>
                <w:color w:val="auto"/>
                <w:sz w:val="21"/>
                <w:szCs w:val="21"/>
              </w:rPr>
              <w:t>5</w:t>
            </w:r>
            <w:r>
              <w:rPr>
                <w:b/>
                <w:color w:val="auto"/>
                <w:sz w:val="21"/>
                <w:szCs w:val="21"/>
              </w:rPr>
              <w:t>-</w:t>
            </w:r>
            <w:r>
              <w:rPr>
                <w:rFonts w:hint="eastAsia"/>
                <w:b/>
                <w:color w:val="auto"/>
                <w:sz w:val="21"/>
                <w:szCs w:val="21"/>
                <w:lang w:val="en-US" w:eastAsia="zh-CN"/>
              </w:rPr>
              <w:t>5</w:t>
            </w:r>
            <w:r>
              <w:rPr>
                <w:b/>
                <w:color w:val="auto"/>
                <w:sz w:val="21"/>
                <w:szCs w:val="21"/>
              </w:rPr>
              <w:t xml:space="preserve">  </w:t>
            </w:r>
            <w:r>
              <w:rPr>
                <w:rFonts w:hint="eastAsia"/>
                <w:b/>
                <w:color w:val="auto"/>
                <w:sz w:val="21"/>
                <w:szCs w:val="21"/>
              </w:rPr>
              <w:t>噪声仪校准检查情况表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5"/>
              <w:gridCol w:w="1920"/>
              <w:gridCol w:w="2190"/>
              <w:gridCol w:w="915"/>
              <w:gridCol w:w="915"/>
              <w:gridCol w:w="810"/>
              <w:gridCol w:w="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eastAsia" w:ascii="Times New Roman" w:hAnsi="Times New Roman" w:eastAsia="宋体" w:cs="Times New Roman"/>
                      <w:b/>
                      <w:bCs w:val="0"/>
                      <w:color w:val="auto"/>
                      <w:kern w:val="0"/>
                      <w:sz w:val="21"/>
                      <w:szCs w:val="21"/>
                      <w:vertAlign w:val="baseline"/>
                      <w:lang w:val="en-US" w:eastAsia="zh-CN"/>
                    </w:rPr>
                    <w:t>仪器名称</w:t>
                  </w:r>
                </w:p>
              </w:tc>
              <w:tc>
                <w:tcPr>
                  <w:tcW w:w="192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eastAsia" w:ascii="Times New Roman" w:hAnsi="Times New Roman" w:eastAsia="宋体" w:cs="Times New Roman"/>
                      <w:b/>
                      <w:bCs w:val="0"/>
                      <w:color w:val="auto"/>
                      <w:kern w:val="0"/>
                      <w:sz w:val="21"/>
                      <w:szCs w:val="21"/>
                      <w:vertAlign w:val="baseline"/>
                      <w:lang w:val="en-US" w:eastAsia="zh-CN"/>
                    </w:rPr>
                    <w:t>仪器型号及编号</w:t>
                  </w:r>
                </w:p>
              </w:tc>
              <w:tc>
                <w:tcPr>
                  <w:tcW w:w="219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eastAsia" w:ascii="Times New Roman" w:hAnsi="Times New Roman" w:eastAsia="宋体" w:cs="Times New Roman"/>
                      <w:b/>
                      <w:bCs w:val="0"/>
                      <w:color w:val="auto"/>
                      <w:kern w:val="0"/>
                      <w:sz w:val="21"/>
                      <w:szCs w:val="21"/>
                      <w:vertAlign w:val="baseline"/>
                      <w:lang w:val="en-US" w:eastAsia="zh-CN"/>
                    </w:rPr>
                    <w:t>校准器型号及标准值</w:t>
                  </w:r>
                </w:p>
              </w:tc>
              <w:tc>
                <w:tcPr>
                  <w:tcW w:w="1830"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val="0"/>
                      <w:color w:val="auto"/>
                      <w:kern w:val="0"/>
                      <w:sz w:val="21"/>
                      <w:szCs w:val="21"/>
                      <w:vertAlign w:val="baseline"/>
                      <w:lang w:val="en-US" w:eastAsia="zh-CN"/>
                    </w:rPr>
                  </w:pPr>
                  <w:r>
                    <w:rPr>
                      <w:rFonts w:hint="eastAsia" w:ascii="Times New Roman" w:hAnsi="Times New Roman" w:eastAsia="宋体" w:cs="Times New Roman"/>
                      <w:b/>
                      <w:bCs w:val="0"/>
                      <w:color w:val="auto"/>
                      <w:kern w:val="0"/>
                      <w:sz w:val="21"/>
                      <w:szCs w:val="21"/>
                      <w:vertAlign w:val="baseline"/>
                      <w:lang w:val="en-US" w:eastAsia="zh-CN"/>
                    </w:rPr>
                    <w:t>校准值dB（A）</w:t>
                  </w:r>
                </w:p>
              </w:tc>
              <w:tc>
                <w:tcPr>
                  <w:tcW w:w="81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eastAsia" w:ascii="Times New Roman" w:hAnsi="Times New Roman" w:eastAsia="宋体" w:cs="Times New Roman"/>
                      <w:b/>
                      <w:bCs w:val="0"/>
                      <w:color w:val="auto"/>
                      <w:kern w:val="0"/>
                      <w:sz w:val="21"/>
                      <w:szCs w:val="21"/>
                      <w:vertAlign w:val="baseline"/>
                      <w:lang w:val="en-US" w:eastAsia="zh-CN"/>
                    </w:rPr>
                    <w:t>允许偏差</w:t>
                  </w:r>
                </w:p>
              </w:tc>
              <w:tc>
                <w:tcPr>
                  <w:tcW w:w="80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vertAlign w:val="baseline"/>
                      <w:lang w:val="en-US" w:eastAsia="zh-CN"/>
                    </w:rPr>
                  </w:pPr>
                  <w:r>
                    <w:rPr>
                      <w:rFonts w:hint="eastAsia" w:ascii="Times New Roman" w:hAnsi="Times New Roman" w:eastAsia="宋体" w:cs="Times New Roman"/>
                      <w:b/>
                      <w:bCs w:val="0"/>
                      <w:color w:val="auto"/>
                      <w:kern w:val="0"/>
                      <w:sz w:val="21"/>
                      <w:szCs w:val="21"/>
                      <w:vertAlign w:val="baseline"/>
                      <w:lang w:val="en-US" w:eastAsia="zh-CN"/>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219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Theme="minorEastAsia"/>
                      <w:b/>
                      <w:bCs/>
                      <w:color w:val="auto"/>
                      <w:sz w:val="21"/>
                      <w:szCs w:val="21"/>
                      <w:lang w:val="en-US" w:eastAsia="zh-CN"/>
                    </w:rPr>
                  </w:pPr>
                  <w:r>
                    <w:rPr>
                      <w:rFonts w:hint="eastAsia"/>
                      <w:b/>
                      <w:bCs/>
                      <w:color w:val="auto"/>
                      <w:sz w:val="21"/>
                      <w:szCs w:val="21"/>
                      <w:lang w:val="en-US" w:eastAsia="zh-CN"/>
                    </w:rPr>
                    <w:t>测量前</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eastAsiaTheme="minorEastAsia"/>
                      <w:b/>
                      <w:bCs/>
                      <w:color w:val="auto"/>
                      <w:sz w:val="21"/>
                      <w:szCs w:val="21"/>
                      <w:lang w:val="en-US" w:eastAsia="zh-CN"/>
                    </w:rPr>
                  </w:pPr>
                  <w:r>
                    <w:rPr>
                      <w:rFonts w:hint="eastAsia"/>
                      <w:b/>
                      <w:bCs/>
                      <w:color w:val="auto"/>
                      <w:sz w:val="21"/>
                      <w:szCs w:val="21"/>
                      <w:lang w:val="en-US" w:eastAsia="zh-CN"/>
                    </w:rPr>
                    <w:t>测量后</w:t>
                  </w:r>
                </w:p>
              </w:tc>
              <w:tc>
                <w:tcPr>
                  <w:tcW w:w="81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80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cs="Times New Roman"/>
                      <w:b w:val="0"/>
                      <w:bCs/>
                      <w:color w:val="auto"/>
                      <w:kern w:val="0"/>
                      <w:sz w:val="21"/>
                      <w:szCs w:val="21"/>
                      <w:vertAlign w:val="baseline"/>
                      <w:lang w:val="en-US" w:eastAsia="zh-CN"/>
                    </w:rPr>
                    <w:t>噪声分析仪</w:t>
                  </w:r>
                </w:p>
              </w:tc>
              <w:tc>
                <w:tcPr>
                  <w:tcW w:w="192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cs="Times New Roman"/>
                      <w:b w:val="0"/>
                      <w:bCs/>
                      <w:color w:val="auto"/>
                      <w:kern w:val="0"/>
                      <w:sz w:val="21"/>
                      <w:szCs w:val="21"/>
                      <w:vertAlign w:val="baseline"/>
                      <w:lang w:val="en-US" w:eastAsia="zh-CN"/>
                    </w:rPr>
                    <w:t>AWA6228多功能声级计GCY-</w:t>
                  </w:r>
                  <w:r>
                    <w:rPr>
                      <w:rFonts w:hint="eastAsia" w:cs="Times New Roman"/>
                      <w:b w:val="0"/>
                      <w:bCs/>
                      <w:color w:val="auto"/>
                      <w:kern w:val="0"/>
                      <w:sz w:val="21"/>
                      <w:szCs w:val="21"/>
                      <w:vertAlign w:val="baseline"/>
                      <w:lang w:val="en-US" w:eastAsia="zh-CN"/>
                    </w:rPr>
                    <w:t>153</w:t>
                  </w:r>
                </w:p>
              </w:tc>
              <w:tc>
                <w:tcPr>
                  <w:tcW w:w="219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cs="Times New Roman"/>
                      <w:b w:val="0"/>
                      <w:bCs/>
                      <w:color w:val="auto"/>
                      <w:kern w:val="0"/>
                      <w:sz w:val="21"/>
                      <w:szCs w:val="21"/>
                      <w:vertAlign w:val="baseline"/>
                      <w:lang w:val="en-US" w:eastAsia="zh-CN"/>
                    </w:rPr>
                    <w:t>声校准器AWA622</w:t>
                  </w:r>
                  <w:r>
                    <w:rPr>
                      <w:rFonts w:hint="eastAsia" w:cs="Times New Roman"/>
                      <w:b w:val="0"/>
                      <w:bCs/>
                      <w:color w:val="auto"/>
                      <w:kern w:val="0"/>
                      <w:sz w:val="21"/>
                      <w:szCs w:val="21"/>
                      <w:vertAlign w:val="baseline"/>
                      <w:lang w:val="en-US" w:eastAsia="zh-CN"/>
                    </w:rPr>
                    <w:t>2</w:t>
                  </w:r>
                  <w:r>
                    <w:rPr>
                      <w:rFonts w:hint="eastAsia" w:ascii="Times New Roman" w:hAnsi="Times New Roman" w:eastAsia="宋体" w:cs="Times New Roman"/>
                      <w:b w:val="0"/>
                      <w:bCs/>
                      <w:color w:val="auto"/>
                      <w:kern w:val="0"/>
                      <w:sz w:val="21"/>
                      <w:szCs w:val="21"/>
                      <w:vertAlign w:val="baseline"/>
                      <w:lang w:val="en-US" w:eastAsia="zh-CN"/>
                    </w:rPr>
                    <w:t>A  94.0dB（A）</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cs="Times New Roman"/>
                      <w:b w:val="0"/>
                      <w:bCs/>
                      <w:color w:val="auto"/>
                      <w:kern w:val="0"/>
                      <w:sz w:val="21"/>
                      <w:szCs w:val="21"/>
                      <w:vertAlign w:val="baseline"/>
                      <w:lang w:val="en-US" w:eastAsia="zh-CN"/>
                    </w:rPr>
                    <w:t>93.8</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cs="Times New Roman"/>
                      <w:b w:val="0"/>
                      <w:bCs/>
                      <w:color w:val="auto"/>
                      <w:kern w:val="0"/>
                      <w:sz w:val="21"/>
                      <w:szCs w:val="21"/>
                      <w:vertAlign w:val="baseline"/>
                      <w:lang w:val="en-US" w:eastAsia="zh-CN"/>
                    </w:rPr>
                    <w:t>93.8</w:t>
                  </w:r>
                </w:p>
              </w:tc>
              <w:tc>
                <w:tcPr>
                  <w:tcW w:w="81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0.5</w:t>
                  </w:r>
                </w:p>
              </w:tc>
              <w:tc>
                <w:tcPr>
                  <w:tcW w:w="8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rPr>
                  </w:pPr>
                  <w:r>
                    <w:rPr>
                      <w:rFonts w:hint="eastAsia" w:ascii="Times New Roman" w:hAnsi="Times New Roman" w:eastAsia="宋体" w:cs="Times New Roman"/>
                      <w:b w:val="0"/>
                      <w:bCs/>
                      <w:color w:val="auto"/>
                      <w:kern w:val="0"/>
                      <w:sz w:val="21"/>
                      <w:szCs w:val="21"/>
                      <w:vertAlign w:val="baseline"/>
                      <w:lang w:val="en-US" w:eastAsia="zh-CN"/>
                    </w:rPr>
                    <w:t>合格</w:t>
                  </w:r>
                </w:p>
              </w:tc>
            </w:tr>
          </w:tbl>
          <w:p>
            <w:pPr>
              <w:widowControl w:val="0"/>
              <w:tabs>
                <w:tab w:val="left" w:pos="2520"/>
              </w:tabs>
              <w:jc w:val="both"/>
              <w:rPr>
                <w:bCs/>
                <w:color w:val="FF0000"/>
                <w:szCs w:val="21"/>
              </w:rPr>
            </w:pPr>
          </w:p>
        </w:tc>
      </w:tr>
    </w:tbl>
    <w:p>
      <w:pPr>
        <w:sectPr>
          <w:pgSz w:w="12240" w:h="15840"/>
          <w:pgMar w:top="1440" w:right="1800" w:bottom="1440" w:left="1800" w:header="720" w:footer="720" w:gutter="0"/>
          <w:pgNumType w:fmt="decimal"/>
          <w:cols w:space="720" w:num="1"/>
          <w:docGrid w:type="lines" w:linePitch="312" w:charSpace="0"/>
        </w:sectPr>
      </w:pPr>
    </w:p>
    <w:p>
      <w:pPr>
        <w:pStyle w:val="4"/>
        <w:bidi w:val="0"/>
        <w:rPr>
          <w:rFonts w:hint="eastAsia" w:ascii="宋体" w:hAnsi="宋体" w:eastAsia="宋体" w:cs="宋体"/>
        </w:rPr>
      </w:pPr>
      <w:bookmarkStart w:id="29" w:name="_Toc103603944"/>
      <w:bookmarkStart w:id="30" w:name="_Toc18963"/>
      <w:r>
        <w:rPr>
          <w:rFonts w:hint="eastAsia" w:ascii="宋体" w:hAnsi="宋体" w:eastAsia="宋体" w:cs="宋体"/>
        </w:rPr>
        <w:t>表</w:t>
      </w:r>
      <w:bookmarkEnd w:id="26"/>
      <w:bookmarkEnd w:id="27"/>
      <w:bookmarkEnd w:id="28"/>
      <w:r>
        <w:rPr>
          <w:rFonts w:hint="eastAsia" w:ascii="宋体" w:hAnsi="宋体" w:eastAsia="宋体" w:cs="宋体"/>
        </w:rPr>
        <w:t>六  验收监测内容</w:t>
      </w:r>
      <w:bookmarkEnd w:id="29"/>
      <w:bookmarkEnd w:id="30"/>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92" w:hRule="atLeast"/>
        </w:trPr>
        <w:tc>
          <w:tcPr>
            <w:tcW w:w="5000" w:type="pct"/>
          </w:tcPr>
          <w:p>
            <w:pPr>
              <w:keepNext w:val="0"/>
              <w:keepLines w:val="0"/>
              <w:pageBreakBefore w:val="0"/>
              <w:widowControl w:val="0"/>
              <w:numPr>
                <w:ilvl w:val="0"/>
                <w:numId w:val="0"/>
              </w:numPr>
              <w:kinsoku/>
              <w:wordWrap/>
              <w:overflowPunct/>
              <w:topLinePunct w:val="0"/>
              <w:autoSpaceDE/>
              <w:autoSpaceDN/>
              <w:bidi w:val="0"/>
              <w:spacing w:line="300" w:lineRule="auto"/>
              <w:textAlignment w:val="auto"/>
              <w:rPr>
                <w:rFonts w:hint="default" w:ascii="Times New Roman" w:hAnsi="Times New Roman" w:cs="Times New Roman"/>
                <w:b/>
                <w:bCs/>
                <w:color w:val="auto"/>
                <w:sz w:val="24"/>
                <w:szCs w:val="24"/>
              </w:rPr>
            </w:pPr>
            <w:r>
              <w:rPr>
                <w:rFonts w:hint="eastAsia"/>
                <w:b/>
                <w:bCs/>
                <w:color w:val="auto"/>
                <w:sz w:val="24"/>
                <w:szCs w:val="24"/>
              </w:rPr>
              <w:t>一、</w:t>
            </w:r>
            <w:r>
              <w:rPr>
                <w:rFonts w:hint="default" w:ascii="Times New Roman" w:hAnsi="Times New Roman" w:cs="Times New Roman"/>
                <w:b/>
                <w:bCs/>
                <w:color w:val="auto"/>
                <w:sz w:val="24"/>
                <w:szCs w:val="24"/>
              </w:rPr>
              <w:t>废水</w:t>
            </w:r>
          </w:p>
          <w:p>
            <w:pPr>
              <w:pStyle w:val="94"/>
              <w:keepNext w:val="0"/>
              <w:keepLines w:val="0"/>
              <w:pageBreakBefore w:val="0"/>
              <w:widowControl w:val="0"/>
              <w:kinsoku/>
              <w:wordWrap/>
              <w:overflowPunct/>
              <w:topLinePunct w:val="0"/>
              <w:autoSpaceDE/>
              <w:autoSpaceDN/>
              <w:bidi w:val="0"/>
              <w:adjustRightInd w:val="0"/>
              <w:snapToGrid w:val="0"/>
              <w:spacing w:after="0" w:line="360" w:lineRule="auto"/>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本</w:t>
            </w:r>
            <w:r>
              <w:rPr>
                <w:rFonts w:hint="default" w:ascii="Times New Roman" w:hAnsi="Times New Roman" w:cs="Times New Roman"/>
                <w:color w:val="auto"/>
                <w:sz w:val="24"/>
                <w:szCs w:val="24"/>
                <w:lang w:val="en-US" w:eastAsia="zh-CN"/>
              </w:rPr>
              <w:t>次验收监测</w:t>
            </w:r>
            <w:r>
              <w:rPr>
                <w:rFonts w:hint="eastAsia" w:cs="Times New Roman"/>
                <w:color w:val="auto"/>
                <w:sz w:val="24"/>
                <w:szCs w:val="24"/>
                <w:lang w:val="en-US" w:eastAsia="zh-CN"/>
              </w:rPr>
              <w:t>污水排放</w:t>
            </w:r>
            <w:r>
              <w:rPr>
                <w:rFonts w:hint="default" w:ascii="Times New Roman" w:hAnsi="Times New Roman" w:cs="Times New Roman"/>
                <w:color w:val="auto"/>
                <w:sz w:val="24"/>
                <w:szCs w:val="24"/>
                <w:lang w:val="en-US" w:eastAsia="zh-CN"/>
              </w:rPr>
              <w:t>口，监测内容见下表6-1。</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Theme="minorEastAsia"/>
                <w:bCs/>
                <w:color w:val="auto"/>
              </w:rPr>
            </w:pPr>
            <w:r>
              <w:rPr>
                <w:rFonts w:ascii="Times New Roman" w:hAnsi="Times New Roman" w:eastAsiaTheme="minorEastAsia"/>
                <w:b/>
                <w:bCs w:val="0"/>
                <w:color w:val="auto"/>
                <w:sz w:val="21"/>
                <w:szCs w:val="21"/>
              </w:rPr>
              <w:t>表6-1 废水监测内容</w:t>
            </w:r>
          </w:p>
          <w:tbl>
            <w:tblPr>
              <w:tblStyle w:val="32"/>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1408"/>
              <w:gridCol w:w="4202"/>
              <w:gridCol w:w="1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测点编号</w:t>
                  </w:r>
                </w:p>
              </w:tc>
              <w:tc>
                <w:tcPr>
                  <w:tcW w:w="8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采样点位</w:t>
                  </w:r>
                </w:p>
              </w:tc>
              <w:tc>
                <w:tcPr>
                  <w:tcW w:w="24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监测项目</w:t>
                  </w:r>
                </w:p>
              </w:tc>
              <w:tc>
                <w:tcPr>
                  <w:tcW w:w="111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heme="minorEastAsia"/>
                      <w:b/>
                      <w:color w:val="auto"/>
                      <w:sz w:val="21"/>
                      <w:szCs w:val="21"/>
                    </w:rPr>
                  </w:pPr>
                  <w:r>
                    <w:rPr>
                      <w:rFonts w:ascii="Times New Roman" w:hAnsi="Times New Roman" w:eastAsiaTheme="minorEastAsia"/>
                      <w:b/>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w:t>
                  </w:r>
                </w:p>
              </w:tc>
              <w:tc>
                <w:tcPr>
                  <w:tcW w:w="81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heme="minorEastAsia"/>
                      <w:color w:val="auto"/>
                      <w:sz w:val="21"/>
                      <w:szCs w:val="21"/>
                      <w:lang w:val="en-US" w:eastAsia="zh-CN"/>
                    </w:rPr>
                  </w:pPr>
                  <w:r>
                    <w:rPr>
                      <w:rFonts w:hint="eastAsia" w:eastAsiaTheme="minorEastAsia"/>
                      <w:color w:val="auto"/>
                      <w:sz w:val="21"/>
                      <w:szCs w:val="21"/>
                      <w:lang w:val="en-US" w:eastAsia="zh-CN"/>
                    </w:rPr>
                    <w:t>生活污水排放口</w:t>
                  </w:r>
                </w:p>
              </w:tc>
              <w:tc>
                <w:tcPr>
                  <w:tcW w:w="243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heme="minorEastAsia"/>
                      <w:color w:val="auto"/>
                      <w:sz w:val="21"/>
                      <w:szCs w:val="21"/>
                      <w:lang w:val="en-US" w:eastAsia="zh-CN"/>
                    </w:rPr>
                  </w:pPr>
                  <w:r>
                    <w:rPr>
                      <w:rFonts w:ascii="Times New Roman" w:hAnsi="Times New Roman" w:eastAsiaTheme="minorEastAsia"/>
                      <w:color w:val="auto"/>
                      <w:sz w:val="21"/>
                      <w:szCs w:val="21"/>
                    </w:rPr>
                    <w:t>pH值、化学需氧量</w:t>
                  </w:r>
                  <w:r>
                    <w:rPr>
                      <w:rFonts w:hint="eastAsia" w:eastAsiaTheme="minorEastAsia"/>
                      <w:color w:val="auto"/>
                      <w:sz w:val="21"/>
                      <w:szCs w:val="21"/>
                      <w:lang w:val="en-US" w:eastAsia="zh-CN"/>
                    </w:rPr>
                    <w:t>、</w:t>
                  </w:r>
                  <w:r>
                    <w:rPr>
                      <w:rFonts w:ascii="Times New Roman" w:hAnsi="Times New Roman" w:eastAsiaTheme="minorEastAsia"/>
                      <w:color w:val="auto"/>
                      <w:sz w:val="21"/>
                      <w:szCs w:val="21"/>
                    </w:rPr>
                    <w:t>悬浮物、氨氮、总磷</w:t>
                  </w:r>
                </w:p>
              </w:tc>
              <w:tc>
                <w:tcPr>
                  <w:tcW w:w="111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2天，4个频次/天</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auto"/>
                <w:sz w:val="24"/>
                <w:szCs w:val="24"/>
              </w:rPr>
            </w:pPr>
            <w:r>
              <w:rPr>
                <w:color w:val="auto"/>
                <w:sz w:val="24"/>
                <w:szCs w:val="24"/>
              </w:rPr>
              <w:t>二</w:t>
            </w:r>
            <w:r>
              <w:rPr>
                <w:b/>
                <w:bCs/>
                <w:color w:val="auto"/>
                <w:sz w:val="24"/>
                <w:szCs w:val="24"/>
              </w:rPr>
              <w:t>、</w:t>
            </w:r>
            <w:r>
              <w:rPr>
                <w:rFonts w:hint="default" w:ascii="Times New Roman" w:hAnsi="Times New Roman" w:cs="Times New Roman"/>
                <w:b/>
                <w:bCs/>
                <w:color w:val="auto"/>
                <w:sz w:val="24"/>
                <w:szCs w:val="24"/>
                <w:highlight w:val="none"/>
              </w:rPr>
              <w:t>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rFonts w:hint="eastAsia"/>
                <w:color w:val="auto"/>
                <w:sz w:val="24"/>
                <w:szCs w:val="24"/>
              </w:rPr>
              <w:t>本项目</w:t>
            </w:r>
            <w:r>
              <w:rPr>
                <w:color w:val="auto"/>
                <w:sz w:val="24"/>
                <w:szCs w:val="24"/>
              </w:rPr>
              <w:t>废气监测内容见下表6-</w:t>
            </w:r>
            <w:r>
              <w:rPr>
                <w:rFonts w:hint="eastAsia"/>
                <w:color w:val="auto"/>
                <w:sz w:val="24"/>
                <w:szCs w:val="24"/>
                <w:lang w:val="en-US" w:eastAsia="zh-CN"/>
              </w:rPr>
              <w:t>2、6-3</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auto"/>
              </w:rPr>
            </w:pPr>
            <w:r>
              <w:rPr>
                <w:b/>
                <w:bCs/>
                <w:color w:val="auto"/>
                <w:sz w:val="21"/>
                <w:szCs w:val="21"/>
              </w:rPr>
              <w:t>表6-</w:t>
            </w:r>
            <w:r>
              <w:rPr>
                <w:rFonts w:hint="eastAsia"/>
                <w:b/>
                <w:bCs/>
                <w:color w:val="auto"/>
                <w:sz w:val="21"/>
                <w:szCs w:val="21"/>
                <w:lang w:val="en-US" w:eastAsia="zh-CN"/>
              </w:rPr>
              <w:t>2</w:t>
            </w:r>
            <w:r>
              <w:rPr>
                <w:b/>
                <w:bCs/>
                <w:color w:val="auto"/>
                <w:sz w:val="21"/>
                <w:szCs w:val="21"/>
              </w:rPr>
              <w:t xml:space="preserve"> </w:t>
            </w:r>
            <w:r>
              <w:rPr>
                <w:rFonts w:hint="eastAsia"/>
                <w:b/>
                <w:bCs/>
                <w:color w:val="auto"/>
                <w:sz w:val="21"/>
                <w:szCs w:val="21"/>
                <w:lang w:val="en-US" w:eastAsia="zh-CN"/>
              </w:rPr>
              <w:t>无</w:t>
            </w:r>
            <w:r>
              <w:rPr>
                <w:b/>
                <w:bCs/>
                <w:color w:val="auto"/>
                <w:sz w:val="21"/>
                <w:szCs w:val="21"/>
              </w:rPr>
              <w:t>组织废气监测内容</w:t>
            </w:r>
          </w:p>
          <w:tbl>
            <w:tblPr>
              <w:tblStyle w:val="32"/>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35"/>
              <w:gridCol w:w="3235"/>
              <w:gridCol w:w="1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0"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
                      <w:bCs/>
                      <w:color w:val="auto"/>
                      <w:sz w:val="21"/>
                      <w:szCs w:val="21"/>
                    </w:rPr>
                  </w:pPr>
                  <w:r>
                    <w:rPr>
                      <w:b/>
                      <w:bCs/>
                      <w:color w:val="auto"/>
                      <w:sz w:val="21"/>
                      <w:szCs w:val="21"/>
                    </w:rPr>
                    <w:t>测点编号/采样点位</w:t>
                  </w:r>
                </w:p>
              </w:tc>
              <w:tc>
                <w:tcPr>
                  <w:tcW w:w="1876"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
                      <w:bCs/>
                      <w:color w:val="auto"/>
                      <w:sz w:val="21"/>
                      <w:szCs w:val="21"/>
                    </w:rPr>
                  </w:pPr>
                  <w:r>
                    <w:rPr>
                      <w:b/>
                      <w:bCs/>
                      <w:color w:val="auto"/>
                      <w:sz w:val="21"/>
                      <w:szCs w:val="21"/>
                    </w:rPr>
                    <w:t>监测项目</w:t>
                  </w:r>
                </w:p>
              </w:tc>
              <w:tc>
                <w:tcPr>
                  <w:tcW w:w="1073"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
                      <w:bCs/>
                      <w:color w:val="auto"/>
                      <w:sz w:val="21"/>
                      <w:szCs w:val="21"/>
                    </w:rPr>
                  </w:pPr>
                  <w:r>
                    <w:rPr>
                      <w:b/>
                      <w:bCs/>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0"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r>
                    <w:rPr>
                      <w:rFonts w:hint="eastAsia"/>
                      <w:color w:val="auto"/>
                      <w:sz w:val="21"/>
                      <w:szCs w:val="21"/>
                      <w:lang w:eastAsia="zh-CN"/>
                    </w:rPr>
                    <w:t>厂界</w:t>
                  </w:r>
                  <w:r>
                    <w:rPr>
                      <w:rFonts w:hint="eastAsia"/>
                      <w:color w:val="auto"/>
                      <w:sz w:val="21"/>
                      <w:szCs w:val="21"/>
                    </w:rPr>
                    <w:t>○</w:t>
                  </w:r>
                  <w:r>
                    <w:rPr>
                      <w:color w:val="auto"/>
                      <w:sz w:val="21"/>
                      <w:szCs w:val="21"/>
                    </w:rPr>
                    <w:t>（1#）</w:t>
                  </w:r>
                </w:p>
              </w:tc>
              <w:tc>
                <w:tcPr>
                  <w:tcW w:w="187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21"/>
                      <w:szCs w:val="21"/>
                      <w:lang w:val="en-US" w:eastAsia="zh-CN"/>
                    </w:rPr>
                  </w:pPr>
                  <w:r>
                    <w:rPr>
                      <w:rFonts w:hint="eastAsia" w:ascii="Times New Roman" w:hAnsi="Times New Roman" w:eastAsia="宋体"/>
                      <w:color w:val="auto"/>
                      <w:kern w:val="2"/>
                      <w:sz w:val="21"/>
                      <w:szCs w:val="21"/>
                    </w:rPr>
                    <w:t>总悬浮颗粒物</w:t>
                  </w:r>
                  <w:r>
                    <w:rPr>
                      <w:rFonts w:hint="eastAsia"/>
                      <w:color w:val="auto"/>
                      <w:kern w:val="2"/>
                      <w:sz w:val="21"/>
                      <w:szCs w:val="21"/>
                      <w:lang w:eastAsia="zh-CN"/>
                    </w:rPr>
                    <w:t>、锡、非甲烷总烃</w:t>
                  </w:r>
                </w:p>
              </w:tc>
              <w:tc>
                <w:tcPr>
                  <w:tcW w:w="1073"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r>
                    <w:rPr>
                      <w:color w:val="auto"/>
                      <w:sz w:val="21"/>
                      <w:szCs w:val="21"/>
                    </w:rPr>
                    <w:t>2天，</w:t>
                  </w:r>
                  <w:r>
                    <w:rPr>
                      <w:rFonts w:hint="eastAsia"/>
                      <w:color w:val="auto"/>
                      <w:sz w:val="21"/>
                      <w:szCs w:val="21"/>
                      <w:lang w:val="en-US" w:eastAsia="zh-CN"/>
                    </w:rPr>
                    <w:t>3</w:t>
                  </w:r>
                  <w:r>
                    <w:rPr>
                      <w:color w:val="auto"/>
                      <w:sz w:val="21"/>
                      <w:szCs w:val="21"/>
                    </w:rPr>
                    <w:t>次/天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050"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r>
                    <w:rPr>
                      <w:rFonts w:hint="eastAsia"/>
                      <w:color w:val="auto"/>
                      <w:sz w:val="21"/>
                      <w:szCs w:val="21"/>
                      <w:lang w:eastAsia="zh-CN"/>
                    </w:rPr>
                    <w:t>厂界</w:t>
                  </w:r>
                  <w:r>
                    <w:rPr>
                      <w:rFonts w:hint="eastAsia"/>
                      <w:color w:val="auto"/>
                      <w:sz w:val="21"/>
                      <w:szCs w:val="21"/>
                    </w:rPr>
                    <w:t>○</w:t>
                  </w:r>
                  <w:r>
                    <w:rPr>
                      <w:color w:val="auto"/>
                      <w:sz w:val="21"/>
                      <w:szCs w:val="21"/>
                    </w:rPr>
                    <w:t>（2#、3#、4#）</w:t>
                  </w:r>
                </w:p>
              </w:tc>
              <w:tc>
                <w:tcPr>
                  <w:tcW w:w="187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p>
              </w:tc>
              <w:tc>
                <w:tcPr>
                  <w:tcW w:w="1073"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0"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color w:val="auto"/>
                      <w:sz w:val="21"/>
                      <w:szCs w:val="21"/>
                      <w:lang w:eastAsia="zh-CN"/>
                    </w:rPr>
                  </w:pPr>
                  <w:r>
                    <w:rPr>
                      <w:rFonts w:hint="eastAsia"/>
                      <w:color w:val="auto"/>
                      <w:sz w:val="21"/>
                      <w:szCs w:val="21"/>
                      <w:lang w:eastAsia="zh-CN"/>
                    </w:rPr>
                    <w:t>车间外</w:t>
                  </w:r>
                  <w:r>
                    <w:rPr>
                      <w:rFonts w:hint="eastAsia"/>
                      <w:color w:val="auto"/>
                      <w:sz w:val="21"/>
                      <w:szCs w:val="21"/>
                    </w:rPr>
                    <w:t>○</w:t>
                  </w:r>
                  <w:r>
                    <w:rPr>
                      <w:color w:val="auto"/>
                      <w:sz w:val="21"/>
                      <w:szCs w:val="21"/>
                    </w:rPr>
                    <w:t>（</w:t>
                  </w:r>
                  <w:r>
                    <w:rPr>
                      <w:rFonts w:hint="eastAsia"/>
                      <w:color w:val="auto"/>
                      <w:sz w:val="21"/>
                      <w:szCs w:val="21"/>
                      <w:lang w:val="en-US" w:eastAsia="zh-CN"/>
                    </w:rPr>
                    <w:t>5</w:t>
                  </w:r>
                  <w:r>
                    <w:rPr>
                      <w:color w:val="auto"/>
                      <w:sz w:val="21"/>
                      <w:szCs w:val="21"/>
                    </w:rPr>
                    <w:t>#）</w:t>
                  </w:r>
                </w:p>
              </w:tc>
              <w:tc>
                <w:tcPr>
                  <w:tcW w:w="1876"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r>
                    <w:rPr>
                      <w:rFonts w:hint="eastAsia"/>
                      <w:color w:val="auto"/>
                      <w:kern w:val="2"/>
                      <w:sz w:val="21"/>
                      <w:szCs w:val="21"/>
                      <w:lang w:eastAsia="zh-CN"/>
                    </w:rPr>
                    <w:t>非甲烷总烃</w:t>
                  </w:r>
                </w:p>
              </w:tc>
              <w:tc>
                <w:tcPr>
                  <w:tcW w:w="1073"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r>
                    <w:rPr>
                      <w:color w:val="auto"/>
                      <w:sz w:val="21"/>
                      <w:szCs w:val="21"/>
                    </w:rPr>
                    <w:t>2天，</w:t>
                  </w:r>
                  <w:r>
                    <w:rPr>
                      <w:rFonts w:hint="eastAsia"/>
                      <w:color w:val="auto"/>
                      <w:sz w:val="21"/>
                      <w:szCs w:val="21"/>
                      <w:lang w:val="en-US" w:eastAsia="zh-CN"/>
                    </w:rPr>
                    <w:t>3</w:t>
                  </w:r>
                  <w:r>
                    <w:rPr>
                      <w:color w:val="auto"/>
                      <w:sz w:val="21"/>
                      <w:szCs w:val="21"/>
                    </w:rPr>
                    <w:t>次/天</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color w:val="auto"/>
              </w:rPr>
            </w:pPr>
            <w:r>
              <w:rPr>
                <w:b/>
                <w:bCs/>
                <w:color w:val="auto"/>
                <w:sz w:val="21"/>
                <w:szCs w:val="21"/>
              </w:rPr>
              <w:t>表6-</w:t>
            </w:r>
            <w:r>
              <w:rPr>
                <w:rFonts w:hint="eastAsia"/>
                <w:b/>
                <w:bCs/>
                <w:color w:val="auto"/>
                <w:sz w:val="21"/>
                <w:szCs w:val="21"/>
                <w:lang w:val="en-US" w:eastAsia="zh-CN"/>
              </w:rPr>
              <w:t>3</w:t>
            </w:r>
            <w:r>
              <w:rPr>
                <w:b/>
                <w:bCs/>
                <w:color w:val="auto"/>
                <w:sz w:val="21"/>
                <w:szCs w:val="21"/>
              </w:rPr>
              <w:t xml:space="preserve"> </w:t>
            </w:r>
            <w:r>
              <w:rPr>
                <w:rFonts w:hint="eastAsia"/>
                <w:b/>
                <w:bCs/>
                <w:color w:val="auto"/>
                <w:sz w:val="21"/>
                <w:szCs w:val="21"/>
                <w:lang w:val="en-US" w:eastAsia="zh-CN"/>
              </w:rPr>
              <w:t>有</w:t>
            </w:r>
            <w:r>
              <w:rPr>
                <w:b/>
                <w:bCs/>
                <w:color w:val="auto"/>
                <w:sz w:val="21"/>
                <w:szCs w:val="21"/>
              </w:rPr>
              <w:t>组织废气监测内容</w:t>
            </w:r>
          </w:p>
          <w:tbl>
            <w:tblPr>
              <w:tblStyle w:val="32"/>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35"/>
              <w:gridCol w:w="3235"/>
              <w:gridCol w:w="1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0"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
                      <w:bCs/>
                      <w:color w:val="auto"/>
                      <w:sz w:val="21"/>
                      <w:szCs w:val="21"/>
                    </w:rPr>
                  </w:pPr>
                  <w:r>
                    <w:rPr>
                      <w:b/>
                      <w:bCs/>
                      <w:color w:val="auto"/>
                      <w:sz w:val="21"/>
                      <w:szCs w:val="21"/>
                    </w:rPr>
                    <w:t>测点编号/采样点位</w:t>
                  </w:r>
                </w:p>
              </w:tc>
              <w:tc>
                <w:tcPr>
                  <w:tcW w:w="1876"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
                      <w:bCs/>
                      <w:color w:val="auto"/>
                      <w:sz w:val="21"/>
                      <w:szCs w:val="21"/>
                    </w:rPr>
                  </w:pPr>
                  <w:r>
                    <w:rPr>
                      <w:b/>
                      <w:bCs/>
                      <w:color w:val="auto"/>
                      <w:sz w:val="21"/>
                      <w:szCs w:val="21"/>
                    </w:rPr>
                    <w:t>监测项目</w:t>
                  </w:r>
                </w:p>
              </w:tc>
              <w:tc>
                <w:tcPr>
                  <w:tcW w:w="1073"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b/>
                      <w:bCs/>
                      <w:color w:val="auto"/>
                      <w:sz w:val="21"/>
                      <w:szCs w:val="21"/>
                    </w:rPr>
                  </w:pPr>
                  <w:r>
                    <w:rPr>
                      <w:b/>
                      <w:bCs/>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50"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r>
                    <w:rPr>
                      <w:rFonts w:ascii="Times New Roman" w:hAnsi="Times New Roman" w:eastAsia="宋体"/>
                      <w:kern w:val="2"/>
                      <w:sz w:val="21"/>
                      <w:szCs w:val="21"/>
                    </w:rPr>
                    <w:t>DA001(进口</w:t>
                  </w:r>
                  <w:r>
                    <w:rPr>
                      <w:rFonts w:hint="eastAsia"/>
                      <w:kern w:val="2"/>
                      <w:sz w:val="21"/>
                      <w:szCs w:val="21"/>
                      <w:lang w:eastAsia="zh-CN"/>
                    </w:rPr>
                    <w:t>，</w:t>
                  </w:r>
                  <w:r>
                    <w:rPr>
                      <w:rFonts w:ascii="Times New Roman" w:hAnsi="Times New Roman" w:eastAsia="宋体"/>
                      <w:kern w:val="2"/>
                      <w:sz w:val="21"/>
                      <w:szCs w:val="21"/>
                    </w:rPr>
                    <w:t>出口)</w:t>
                  </w:r>
                </w:p>
              </w:tc>
              <w:tc>
                <w:tcPr>
                  <w:tcW w:w="1876"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eastAsia="宋体"/>
                      <w:color w:val="auto"/>
                      <w:sz w:val="21"/>
                      <w:szCs w:val="21"/>
                      <w:lang w:val="en-US" w:eastAsia="zh-CN"/>
                    </w:rPr>
                  </w:pPr>
                  <w:r>
                    <w:rPr>
                      <w:rFonts w:hint="eastAsia"/>
                      <w:color w:val="auto"/>
                      <w:kern w:val="2"/>
                      <w:sz w:val="21"/>
                      <w:szCs w:val="21"/>
                      <w:lang w:eastAsia="zh-CN"/>
                    </w:rPr>
                    <w:t>废气参数、</w:t>
                  </w:r>
                  <w:r>
                    <w:rPr>
                      <w:rFonts w:hint="eastAsia" w:ascii="Times New Roman" w:hAnsi="Times New Roman" w:eastAsia="宋体"/>
                      <w:color w:val="auto"/>
                      <w:kern w:val="2"/>
                      <w:sz w:val="21"/>
                      <w:szCs w:val="21"/>
                    </w:rPr>
                    <w:t>颗粒物</w:t>
                  </w:r>
                  <w:r>
                    <w:rPr>
                      <w:rFonts w:hint="eastAsia"/>
                      <w:color w:val="auto"/>
                      <w:kern w:val="2"/>
                      <w:sz w:val="21"/>
                      <w:szCs w:val="21"/>
                      <w:lang w:eastAsia="zh-CN"/>
                    </w:rPr>
                    <w:t>、锡、非甲烷总烃</w:t>
                  </w:r>
                </w:p>
              </w:tc>
              <w:tc>
                <w:tcPr>
                  <w:tcW w:w="1073"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color w:val="auto"/>
                      <w:sz w:val="21"/>
                      <w:szCs w:val="21"/>
                    </w:rPr>
                  </w:pPr>
                  <w:r>
                    <w:rPr>
                      <w:color w:val="auto"/>
                      <w:sz w:val="21"/>
                      <w:szCs w:val="21"/>
                    </w:rPr>
                    <w:t>2天，</w:t>
                  </w:r>
                  <w:r>
                    <w:rPr>
                      <w:rFonts w:hint="eastAsia"/>
                      <w:color w:val="auto"/>
                      <w:sz w:val="21"/>
                      <w:szCs w:val="21"/>
                      <w:lang w:val="en-US" w:eastAsia="zh-CN"/>
                    </w:rPr>
                    <w:t>3</w:t>
                  </w:r>
                  <w:r>
                    <w:rPr>
                      <w:color w:val="auto"/>
                      <w:sz w:val="21"/>
                      <w:szCs w:val="21"/>
                    </w:rPr>
                    <w:t>次/天</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b/>
                <w:bCs/>
                <w:color w:val="auto"/>
                <w:sz w:val="24"/>
                <w:szCs w:val="24"/>
              </w:rPr>
            </w:pPr>
            <w:r>
              <w:rPr>
                <w:b/>
                <w:bCs/>
                <w:color w:val="auto"/>
                <w:sz w:val="24"/>
                <w:szCs w:val="24"/>
              </w:rPr>
              <w:t>三、噪声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根据声源分布情况，围绕</w:t>
            </w:r>
            <w:r>
              <w:rPr>
                <w:rFonts w:hint="eastAsia"/>
                <w:color w:val="auto"/>
                <w:sz w:val="24"/>
                <w:szCs w:val="24"/>
              </w:rPr>
              <w:t>项目厂区（全厂）</w:t>
            </w:r>
            <w:r>
              <w:rPr>
                <w:color w:val="auto"/>
                <w:sz w:val="24"/>
                <w:szCs w:val="24"/>
              </w:rPr>
              <w:t>厂界</w:t>
            </w:r>
            <w:r>
              <w:rPr>
                <w:rFonts w:hint="eastAsia"/>
                <w:color w:val="auto"/>
                <w:sz w:val="24"/>
                <w:szCs w:val="24"/>
              </w:rPr>
              <w:t>四周</w:t>
            </w:r>
            <w:r>
              <w:rPr>
                <w:rFonts w:hint="eastAsia"/>
                <w:color w:val="auto"/>
                <w:sz w:val="24"/>
                <w:szCs w:val="24"/>
                <w:lang w:val="en-US" w:eastAsia="zh-CN"/>
              </w:rPr>
              <w:t>4</w:t>
            </w:r>
            <w:r>
              <w:rPr>
                <w:color w:val="auto"/>
                <w:sz w:val="24"/>
                <w:szCs w:val="24"/>
              </w:rPr>
              <w:t>个</w:t>
            </w:r>
            <w:r>
              <w:rPr>
                <w:rFonts w:hint="eastAsia"/>
                <w:color w:val="auto"/>
                <w:sz w:val="24"/>
                <w:szCs w:val="24"/>
              </w:rPr>
              <w:t>噪声</w:t>
            </w:r>
            <w:r>
              <w:rPr>
                <w:color w:val="auto"/>
                <w:sz w:val="24"/>
                <w:szCs w:val="24"/>
              </w:rPr>
              <w:t>测点</w:t>
            </w:r>
            <w:r>
              <w:rPr>
                <w:rFonts w:hint="eastAsia"/>
                <w:color w:val="auto"/>
                <w:sz w:val="24"/>
                <w:szCs w:val="24"/>
              </w:rPr>
              <w:t>，</w:t>
            </w:r>
            <w:r>
              <w:rPr>
                <w:color w:val="auto"/>
                <w:sz w:val="24"/>
                <w:szCs w:val="24"/>
              </w:rPr>
              <w:t>在</w:t>
            </w:r>
            <w:r>
              <w:rPr>
                <w:rFonts w:hint="eastAsia"/>
                <w:color w:val="auto"/>
                <w:sz w:val="24"/>
                <w:szCs w:val="24"/>
              </w:rPr>
              <w:t>昼间</w:t>
            </w:r>
            <w:r>
              <w:rPr>
                <w:color w:val="auto"/>
                <w:sz w:val="24"/>
                <w:szCs w:val="24"/>
              </w:rPr>
              <w:t>监测1 次，监测2天。监测内容见表6-</w:t>
            </w:r>
            <w:r>
              <w:rPr>
                <w:rFonts w:hint="eastAsia"/>
                <w:color w:val="auto"/>
                <w:sz w:val="24"/>
                <w:szCs w:val="24"/>
                <w:lang w:val="en-US" w:eastAsia="zh-CN"/>
              </w:rPr>
              <w:t>4</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color w:val="auto"/>
                <w:sz w:val="21"/>
                <w:szCs w:val="21"/>
              </w:rPr>
            </w:pPr>
            <w:r>
              <w:rPr>
                <w:b/>
                <w:bCs/>
                <w:color w:val="auto"/>
                <w:sz w:val="21"/>
                <w:szCs w:val="21"/>
              </w:rPr>
              <w:t>表6-</w:t>
            </w:r>
            <w:r>
              <w:rPr>
                <w:rFonts w:hint="eastAsia"/>
                <w:b/>
                <w:bCs/>
                <w:color w:val="auto"/>
                <w:sz w:val="21"/>
                <w:szCs w:val="21"/>
                <w:lang w:val="en-US" w:eastAsia="zh-CN"/>
              </w:rPr>
              <w:t>4</w:t>
            </w:r>
            <w:r>
              <w:rPr>
                <w:b/>
                <w:bCs/>
                <w:color w:val="auto"/>
                <w:sz w:val="21"/>
                <w:szCs w:val="21"/>
              </w:rPr>
              <w:t xml:space="preserve"> 噪声监测内容</w:t>
            </w:r>
          </w:p>
          <w:tbl>
            <w:tblPr>
              <w:tblStyle w:val="32"/>
              <w:tblW w:w="49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2993"/>
              <w:gridCol w:w="2452"/>
              <w:gridCol w:w="2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b/>
                      <w:bCs/>
                      <w:color w:val="auto"/>
                      <w:sz w:val="21"/>
                      <w:szCs w:val="21"/>
                    </w:rPr>
                  </w:pPr>
                  <w:r>
                    <w:rPr>
                      <w:b/>
                      <w:bCs/>
                      <w:color w:val="auto"/>
                      <w:sz w:val="21"/>
                      <w:szCs w:val="21"/>
                    </w:rPr>
                    <w:t>监测点</w:t>
                  </w:r>
                </w:p>
              </w:tc>
              <w:tc>
                <w:tcPr>
                  <w:tcW w:w="1742"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b/>
                      <w:bCs/>
                      <w:color w:val="auto"/>
                      <w:sz w:val="21"/>
                      <w:szCs w:val="21"/>
                    </w:rPr>
                  </w:pPr>
                  <w:r>
                    <w:rPr>
                      <w:b/>
                      <w:bCs/>
                      <w:color w:val="auto"/>
                      <w:sz w:val="21"/>
                      <w:szCs w:val="21"/>
                    </w:rPr>
                    <w:t>采样点位</w:t>
                  </w:r>
                </w:p>
              </w:tc>
              <w:tc>
                <w:tcPr>
                  <w:tcW w:w="1427"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b/>
                      <w:bCs/>
                      <w:color w:val="auto"/>
                      <w:sz w:val="21"/>
                      <w:szCs w:val="21"/>
                    </w:rPr>
                  </w:pPr>
                  <w:r>
                    <w:rPr>
                      <w:b/>
                      <w:bCs/>
                      <w:color w:val="auto"/>
                      <w:sz w:val="21"/>
                      <w:szCs w:val="21"/>
                    </w:rPr>
                    <w:t>监测项目</w:t>
                  </w:r>
                </w:p>
              </w:tc>
              <w:tc>
                <w:tcPr>
                  <w:tcW w:w="1209"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b/>
                      <w:bCs/>
                      <w:color w:val="auto"/>
                      <w:sz w:val="21"/>
                      <w:szCs w:val="21"/>
                    </w:rPr>
                  </w:pPr>
                  <w:r>
                    <w:rPr>
                      <w:b/>
                      <w:bCs/>
                      <w:color w:val="auto"/>
                      <w:sz w:val="21"/>
                      <w:szCs w:val="21"/>
                    </w:rPr>
                    <w:t>采样频次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1"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color w:val="auto"/>
                      <w:sz w:val="21"/>
                      <w:szCs w:val="21"/>
                    </w:rPr>
                  </w:pPr>
                  <w:r>
                    <w:rPr>
                      <w:color w:val="auto"/>
                      <w:sz w:val="21"/>
                      <w:szCs w:val="21"/>
                    </w:rPr>
                    <w:t>▲</w:t>
                  </w:r>
                </w:p>
              </w:tc>
              <w:tc>
                <w:tcPr>
                  <w:tcW w:w="1742"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color w:val="auto"/>
                      <w:sz w:val="21"/>
                      <w:szCs w:val="21"/>
                    </w:rPr>
                  </w:pPr>
                  <w:r>
                    <w:rPr>
                      <w:color w:val="auto"/>
                      <w:sz w:val="21"/>
                      <w:szCs w:val="21"/>
                    </w:rPr>
                    <w:t>厂界（</w:t>
                  </w:r>
                  <w:r>
                    <w:rPr>
                      <w:rFonts w:hint="eastAsia"/>
                      <w:color w:val="auto"/>
                      <w:sz w:val="21"/>
                      <w:szCs w:val="21"/>
                      <w:lang w:val="en-US" w:eastAsia="zh-CN"/>
                    </w:rPr>
                    <w:t>1#、2#、3#、4#</w:t>
                  </w:r>
                  <w:r>
                    <w:rPr>
                      <w:color w:val="auto"/>
                      <w:sz w:val="21"/>
                      <w:szCs w:val="21"/>
                    </w:rPr>
                    <w:t>）</w:t>
                  </w:r>
                </w:p>
              </w:tc>
              <w:tc>
                <w:tcPr>
                  <w:tcW w:w="1427"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color w:val="auto"/>
                      <w:sz w:val="21"/>
                      <w:szCs w:val="21"/>
                    </w:rPr>
                  </w:pPr>
                  <w:r>
                    <w:rPr>
                      <w:color w:val="auto"/>
                      <w:sz w:val="21"/>
                      <w:szCs w:val="21"/>
                    </w:rPr>
                    <w:t>昼</w:t>
                  </w:r>
                  <w:r>
                    <w:rPr>
                      <w:rFonts w:hint="eastAsia"/>
                      <w:color w:val="auto"/>
                      <w:sz w:val="21"/>
                      <w:szCs w:val="21"/>
                      <w:lang w:eastAsia="zh-CN"/>
                    </w:rPr>
                    <w:t>间</w:t>
                  </w:r>
                  <w:r>
                    <w:rPr>
                      <w:color w:val="auto"/>
                      <w:sz w:val="21"/>
                      <w:szCs w:val="21"/>
                    </w:rPr>
                    <w:t>噪声</w:t>
                  </w:r>
                </w:p>
              </w:tc>
              <w:tc>
                <w:tcPr>
                  <w:tcW w:w="1209"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auto"/>
                    <w:jc w:val="center"/>
                    <w:textAlignment w:val="auto"/>
                    <w:rPr>
                      <w:color w:val="auto"/>
                      <w:sz w:val="21"/>
                      <w:szCs w:val="21"/>
                    </w:rPr>
                  </w:pPr>
                  <w:r>
                    <w:rPr>
                      <w:color w:val="auto"/>
                      <w:sz w:val="21"/>
                      <w:szCs w:val="21"/>
                    </w:rPr>
                    <w:t>2天，1次/天</w:t>
                  </w:r>
                </w:p>
              </w:tc>
            </w:tr>
          </w:tbl>
          <w:p>
            <w:pPr>
              <w:widowControl w:val="0"/>
              <w:spacing w:before="156" w:beforeLines="50" w:line="360" w:lineRule="auto"/>
              <w:rPr>
                <w:rFonts w:hint="eastAsia"/>
                <w:b/>
                <w:bCs/>
                <w:color w:val="auto"/>
                <w:sz w:val="24"/>
                <w:szCs w:val="24"/>
                <w:lang w:val="en-US" w:eastAsia="zh-CN"/>
              </w:rPr>
            </w:pPr>
          </w:p>
          <w:p>
            <w:pPr>
              <w:widowControl w:val="0"/>
              <w:spacing w:before="156" w:beforeLines="50" w:line="360" w:lineRule="auto"/>
              <w:rPr>
                <w:rFonts w:hint="eastAsia"/>
                <w:b/>
                <w:bCs/>
                <w:color w:val="auto"/>
                <w:sz w:val="24"/>
                <w:szCs w:val="24"/>
                <w:lang w:val="en-US" w:eastAsia="zh-CN"/>
              </w:rPr>
            </w:pPr>
          </w:p>
          <w:p>
            <w:pPr>
              <w:widowControl w:val="0"/>
              <w:spacing w:before="156" w:beforeLines="50" w:line="360" w:lineRule="auto"/>
              <w:rPr>
                <w:b/>
                <w:bCs/>
                <w:color w:val="auto"/>
                <w:sz w:val="24"/>
                <w:szCs w:val="24"/>
              </w:rPr>
            </w:pPr>
            <w:r>
              <w:rPr>
                <w:rFonts w:hint="eastAsia"/>
                <w:b/>
                <w:bCs/>
                <w:color w:val="auto"/>
                <w:sz w:val="24"/>
                <w:szCs w:val="24"/>
                <w:lang w:val="en-US" w:eastAsia="zh-CN"/>
              </w:rPr>
              <w:t>四</w:t>
            </w:r>
            <w:r>
              <w:rPr>
                <w:b/>
                <w:bCs/>
                <w:color w:val="auto"/>
                <w:sz w:val="24"/>
                <w:szCs w:val="24"/>
              </w:rPr>
              <w:t>、</w:t>
            </w:r>
            <w:r>
              <w:rPr>
                <w:rFonts w:hint="eastAsia"/>
                <w:b/>
                <w:bCs/>
                <w:color w:val="auto"/>
                <w:sz w:val="24"/>
                <w:szCs w:val="24"/>
              </w:rPr>
              <w:t>监测</w:t>
            </w:r>
            <w:r>
              <w:rPr>
                <w:b/>
                <w:bCs/>
                <w:color w:val="auto"/>
                <w:sz w:val="24"/>
                <w:szCs w:val="24"/>
              </w:rPr>
              <w:t>点位示意图</w:t>
            </w:r>
          </w:p>
          <w:p>
            <w:pPr>
              <w:widowControl w:val="0"/>
              <w:spacing w:line="360" w:lineRule="auto"/>
              <w:ind w:firstLine="480" w:firstLineChars="200"/>
              <w:jc w:val="left"/>
              <w:rPr>
                <w:bCs/>
                <w:color w:val="auto"/>
                <w:sz w:val="24"/>
                <w:szCs w:val="24"/>
              </w:rPr>
            </w:pPr>
            <w:r>
              <w:rPr>
                <w:rFonts w:hint="eastAsia"/>
                <w:bCs/>
                <w:color w:val="auto"/>
                <w:sz w:val="24"/>
                <w:szCs w:val="24"/>
              </w:rPr>
              <w:t>本项目验收监测点位示意图见图6-1。</w:t>
            </w:r>
          </w:p>
          <w:p>
            <w:pPr>
              <w:widowControl w:val="0"/>
              <w:spacing w:line="360" w:lineRule="auto"/>
              <w:jc w:val="center"/>
              <w:rPr>
                <w:b/>
                <w:bCs/>
                <w:sz w:val="24"/>
                <w:szCs w:val="24"/>
              </w:rPr>
            </w:pPr>
            <w:r>
              <w:rPr>
                <w:sz w:val="21"/>
              </w:rPr>
              <mc:AlternateContent>
                <mc:Choice Requires="wps">
                  <w:drawing>
                    <wp:anchor distT="0" distB="0" distL="114300" distR="114300" simplePos="0" relativeHeight="251663360" behindDoc="0" locked="0" layoutInCell="1" allowOverlap="1">
                      <wp:simplePos x="0" y="0"/>
                      <wp:positionH relativeFrom="column">
                        <wp:posOffset>1295400</wp:posOffset>
                      </wp:positionH>
                      <wp:positionV relativeFrom="paragraph">
                        <wp:posOffset>2226310</wp:posOffset>
                      </wp:positionV>
                      <wp:extent cx="533400" cy="304800"/>
                      <wp:effectExtent l="0" t="0" r="0" b="0"/>
                      <wp:wrapNone/>
                      <wp:docPr id="11" name="文本框 11"/>
                      <wp:cNvGraphicFramePr/>
                      <a:graphic xmlns:a="http://schemas.openxmlformats.org/drawingml/2006/main">
                        <a:graphicData uri="http://schemas.microsoft.com/office/word/2010/wordprocessingShape">
                          <wps:wsp>
                            <wps:cNvSpPr txBox="1"/>
                            <wps:spPr>
                              <a:xfrm>
                                <a:off x="2457450" y="5783580"/>
                                <a:ext cx="53340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宋体" w:hAnsi="宋体" w:eastAsia="宋体" w:cs="宋体"/>
                                      <w:lang w:val="en-US" w:eastAsia="zh-CN"/>
                                    </w:rPr>
                                    <w:t>5#</w:t>
                                  </w:r>
                                  <w:r>
                                    <w:rPr>
                                      <w:rFonts w:hint="eastAsia" w:ascii="宋体" w:hAnsi="宋体" w:eastAsia="宋体" w:cs="宋体"/>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pt;margin-top:175.3pt;height:24pt;width:42pt;z-index:251663360;mso-width-relative:page;mso-height-relative:page;" filled="f" stroked="f" coordsize="21600,21600" o:gfxdata="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GoIr2wAAAAsBAAAPAAAAAAAAAAEAIAAA&#10;ACIAAABkcnMvZG93bnJldi54bWxQSwECFAAUAAAACACHTuJAiVJ+SUICAABzBAAADgAAAAAAAAAB&#10;ACAAAAAqAQAAZHJzL2Uyb0RvYy54bWxQSwUGAAAAAAYABgBZAQAA3gUAAAAA&#10;">
                      <v:fill on="f" focussize="0,0"/>
                      <v:stroke on="f" weight="0.5pt"/>
                      <v:imagedata o:title=""/>
                      <o:lock v:ext="edit" aspectratio="f"/>
                      <v:textbox>
                        <w:txbxContent>
                          <w:p>
                            <w:r>
                              <w:rPr>
                                <w:rFonts w:hint="eastAsia" w:ascii="宋体" w:hAnsi="宋体" w:eastAsia="宋体" w:cs="宋体"/>
                                <w:lang w:val="en-US" w:eastAsia="zh-CN"/>
                              </w:rPr>
                              <w:t>5#</w:t>
                            </w:r>
                            <w:r>
                              <w:rPr>
                                <w:rFonts w:hint="eastAsia" w:ascii="宋体" w:hAnsi="宋体" w:eastAsia="宋体" w:cs="宋体"/>
                              </w:rPr>
                              <w:t>○</w:t>
                            </w:r>
                          </w:p>
                        </w:txbxContent>
                      </v:textbox>
                    </v:shape>
                  </w:pict>
                </mc:Fallback>
              </mc:AlternateContent>
            </w:r>
            <w:r>
              <w:drawing>
                <wp:inline distT="0" distB="0" distL="114300" distR="114300">
                  <wp:extent cx="5535930" cy="3463925"/>
                  <wp:effectExtent l="0" t="0" r="762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5"/>
                          <a:stretch>
                            <a:fillRect/>
                          </a:stretch>
                        </pic:blipFill>
                        <pic:spPr>
                          <a:xfrm>
                            <a:off x="0" y="0"/>
                            <a:ext cx="5535930" cy="3463925"/>
                          </a:xfrm>
                          <a:prstGeom prst="rect">
                            <a:avLst/>
                          </a:prstGeom>
                          <a:noFill/>
                          <a:ln>
                            <a:noFill/>
                          </a:ln>
                        </pic:spPr>
                      </pic:pic>
                    </a:graphicData>
                  </a:graphic>
                </wp:inline>
              </w:drawing>
            </w:r>
          </w:p>
          <w:p>
            <w:pPr>
              <w:widowControl w:val="0"/>
              <w:spacing w:line="360" w:lineRule="auto"/>
              <w:jc w:val="center"/>
              <w:rPr>
                <w:color w:val="FF0000"/>
                <w:szCs w:val="21"/>
              </w:rPr>
            </w:pPr>
            <w:r>
              <w:rPr>
                <w:rFonts w:hint="eastAsia"/>
                <w:b/>
                <w:bCs/>
                <w:sz w:val="21"/>
                <w:szCs w:val="21"/>
              </w:rPr>
              <w:t xml:space="preserve">图6-1  </w:t>
            </w:r>
            <w:r>
              <w:rPr>
                <w:rFonts w:hint="eastAsia"/>
                <w:b/>
                <w:bCs/>
                <w:color w:val="auto"/>
                <w:sz w:val="21"/>
                <w:szCs w:val="21"/>
              </w:rPr>
              <w:t>验收监测点位示意图</w:t>
            </w:r>
            <w:r>
              <w:rPr>
                <w:b/>
                <w:bCs/>
                <w:color w:val="auto"/>
                <w:sz w:val="21"/>
                <w:szCs w:val="21"/>
                <w:highlight w:val="none"/>
              </w:rPr>
              <w:t>（</w:t>
            </w:r>
            <w:r>
              <w:rPr>
                <w:rFonts w:hint="eastAsia"/>
                <w:b/>
                <w:bCs/>
                <w:color w:val="auto"/>
                <w:sz w:val="21"/>
                <w:szCs w:val="21"/>
              </w:rPr>
              <w:t>◎为</w:t>
            </w:r>
            <w:r>
              <w:rPr>
                <w:rFonts w:hint="eastAsia"/>
                <w:b/>
                <w:bCs/>
                <w:color w:val="auto"/>
                <w:sz w:val="21"/>
                <w:szCs w:val="21"/>
                <w:lang w:eastAsia="zh-CN"/>
              </w:rPr>
              <w:t>有</w:t>
            </w:r>
            <w:r>
              <w:rPr>
                <w:rFonts w:hint="eastAsia"/>
                <w:b/>
                <w:bCs/>
                <w:color w:val="auto"/>
                <w:sz w:val="21"/>
                <w:szCs w:val="21"/>
              </w:rPr>
              <w:t>组织废气检测点位</w:t>
            </w:r>
            <w:r>
              <w:rPr>
                <w:rFonts w:hint="eastAsia"/>
                <w:b/>
                <w:bCs/>
                <w:color w:val="auto"/>
                <w:sz w:val="21"/>
                <w:szCs w:val="21"/>
                <w:lang w:eastAsia="zh-CN"/>
              </w:rPr>
              <w:t>、</w:t>
            </w:r>
            <w:r>
              <w:rPr>
                <w:rFonts w:hint="eastAsia"/>
                <w:b/>
                <w:bCs/>
                <w:color w:val="auto"/>
                <w:sz w:val="21"/>
                <w:szCs w:val="21"/>
              </w:rPr>
              <w:t>○为无组织废气检测点位</w:t>
            </w:r>
            <w:r>
              <w:rPr>
                <w:rFonts w:hint="eastAsia"/>
                <w:b/>
                <w:bCs/>
                <w:color w:val="auto"/>
                <w:sz w:val="21"/>
                <w:szCs w:val="21"/>
                <w:lang w:eastAsia="zh-CN"/>
              </w:rPr>
              <w:t>、</w:t>
            </w:r>
            <w:r>
              <w:rPr>
                <w:rFonts w:hint="eastAsia"/>
                <w:b/>
                <w:bCs/>
                <w:color w:val="auto"/>
                <w:sz w:val="21"/>
                <w:szCs w:val="21"/>
              </w:rPr>
              <w:t>★为</w:t>
            </w:r>
            <w:r>
              <w:rPr>
                <w:rFonts w:hint="eastAsia"/>
                <w:b/>
                <w:bCs/>
                <w:color w:val="auto"/>
                <w:sz w:val="21"/>
                <w:szCs w:val="21"/>
                <w:lang w:eastAsia="zh-CN"/>
              </w:rPr>
              <w:t>水质</w:t>
            </w:r>
            <w:r>
              <w:rPr>
                <w:rFonts w:hint="eastAsia"/>
                <w:b/>
                <w:bCs/>
                <w:color w:val="auto"/>
                <w:sz w:val="21"/>
                <w:szCs w:val="21"/>
              </w:rPr>
              <w:t>检测点位</w:t>
            </w:r>
            <w:r>
              <w:rPr>
                <w:rFonts w:hint="eastAsia"/>
                <w:b/>
                <w:bCs/>
                <w:color w:val="auto"/>
                <w:sz w:val="21"/>
                <w:szCs w:val="21"/>
                <w:lang w:eastAsia="zh-CN"/>
              </w:rPr>
              <w:t>、</w:t>
            </w:r>
            <w:r>
              <w:rPr>
                <w:rFonts w:hint="eastAsia"/>
                <w:b/>
                <w:bCs/>
                <w:color w:val="auto"/>
                <w:sz w:val="21"/>
                <w:szCs w:val="21"/>
              </w:rPr>
              <w:t>▲为工业企业厂界环境噪声测点</w:t>
            </w:r>
            <w:r>
              <w:rPr>
                <w:b/>
                <w:bCs/>
                <w:color w:val="auto"/>
                <w:sz w:val="21"/>
                <w:szCs w:val="21"/>
                <w:highlight w:val="none"/>
              </w:rPr>
              <w:t>）</w:t>
            </w:r>
          </w:p>
        </w:tc>
      </w:tr>
    </w:tbl>
    <w:p>
      <w:pPr>
        <w:rPr>
          <w:b/>
          <w:color w:val="FF0000"/>
          <w:szCs w:val="21"/>
        </w:rPr>
        <w:sectPr>
          <w:pgSz w:w="12240" w:h="15840"/>
          <w:pgMar w:top="1440" w:right="1800" w:bottom="1440" w:left="1800" w:header="720" w:footer="720" w:gutter="0"/>
          <w:pgNumType w:fmt="decimal"/>
          <w:cols w:space="720" w:num="1"/>
          <w:docGrid w:type="lines" w:linePitch="312" w:charSpace="0"/>
        </w:sectPr>
      </w:pPr>
    </w:p>
    <w:p>
      <w:pPr>
        <w:pStyle w:val="4"/>
        <w:bidi w:val="0"/>
        <w:rPr>
          <w:rFonts w:hint="eastAsia" w:ascii="宋体" w:hAnsi="宋体" w:eastAsia="宋体" w:cs="宋体"/>
        </w:rPr>
      </w:pPr>
      <w:bookmarkStart w:id="31" w:name="_Toc10543902"/>
      <w:bookmarkStart w:id="32" w:name="_Toc103603945"/>
      <w:bookmarkStart w:id="33" w:name="_Toc10263"/>
      <w:bookmarkStart w:id="34" w:name="_Toc29420"/>
      <w:bookmarkStart w:id="35" w:name="_Toc22029"/>
      <w:bookmarkStart w:id="36" w:name="_Toc5776"/>
      <w:r>
        <w:rPr>
          <w:rFonts w:hint="eastAsia" w:ascii="宋体" w:hAnsi="宋体" w:eastAsia="宋体" w:cs="宋体"/>
        </w:rPr>
        <w:t>表</w:t>
      </w:r>
      <w:bookmarkEnd w:id="31"/>
      <w:r>
        <w:rPr>
          <w:rFonts w:hint="eastAsia" w:ascii="宋体" w:hAnsi="宋体" w:eastAsia="宋体" w:cs="宋体"/>
        </w:rPr>
        <w:t>七  验收监测结果</w:t>
      </w:r>
      <w:bookmarkEnd w:id="32"/>
      <w:bookmarkEnd w:id="33"/>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69" w:hRule="atLeast"/>
        </w:trPr>
        <w:tc>
          <w:tcPr>
            <w:tcW w:w="5000" w:type="pct"/>
          </w:tcPr>
          <w:p>
            <w:pPr>
              <w:widowControl w:val="0"/>
              <w:spacing w:line="360" w:lineRule="auto"/>
              <w:rPr>
                <w:b/>
                <w:bCs/>
                <w:sz w:val="24"/>
                <w:szCs w:val="24"/>
              </w:rPr>
            </w:pPr>
            <w:r>
              <w:rPr>
                <w:b/>
                <w:bCs/>
                <w:sz w:val="24"/>
                <w:szCs w:val="24"/>
              </w:rPr>
              <w:t>一、验收监测期间生产工况记录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sz w:val="24"/>
                <w:szCs w:val="24"/>
              </w:rPr>
              <w:t>监测期间全厂生</w:t>
            </w:r>
            <w:r>
              <w:rPr>
                <w:color w:val="auto"/>
                <w:sz w:val="24"/>
                <w:szCs w:val="24"/>
              </w:rPr>
              <w:t>产正常，天气符合监测条件，本项目</w:t>
            </w:r>
            <w:r>
              <w:rPr>
                <w:rFonts w:hint="eastAsia"/>
                <w:color w:val="auto"/>
                <w:sz w:val="24"/>
                <w:szCs w:val="24"/>
              </w:rPr>
              <w:t>实际产能为：</w:t>
            </w:r>
            <w:r>
              <w:rPr>
                <w:rFonts w:hint="eastAsia"/>
                <w:color w:val="auto"/>
                <w:sz w:val="24"/>
                <w:szCs w:val="24"/>
                <w:lang w:eastAsia="zh-CN"/>
              </w:rPr>
              <w:t>年产智能温度传感器200万件</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年工作300天。</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color w:val="auto"/>
                <w:sz w:val="21"/>
                <w:szCs w:val="21"/>
                <w:highlight w:val="none"/>
              </w:rPr>
            </w:pPr>
            <w:r>
              <w:rPr>
                <w:b/>
                <w:bCs/>
                <w:color w:val="auto"/>
                <w:sz w:val="21"/>
                <w:szCs w:val="21"/>
                <w:highlight w:val="none"/>
              </w:rPr>
              <w:t>表7-1 监测期间工况</w:t>
            </w:r>
          </w:p>
          <w:tbl>
            <w:tblPr>
              <w:tblStyle w:val="32"/>
              <w:tblW w:w="4998" w:type="pct"/>
              <w:jc w:val="center"/>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270"/>
              <w:gridCol w:w="1587"/>
              <w:gridCol w:w="1587"/>
              <w:gridCol w:w="1587"/>
              <w:gridCol w:w="1592"/>
            </w:tblGrid>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设计产量和日期</w:t>
                  </w:r>
                </w:p>
              </w:tc>
              <w:tc>
                <w:tcPr>
                  <w:tcW w:w="3683"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验收产量：</w:t>
                  </w:r>
                  <w:r>
                    <w:rPr>
                      <w:rFonts w:hint="default" w:ascii="Times New Roman" w:hAnsi="Times New Roman" w:eastAsia="宋体" w:cs="Times New Roman"/>
                      <w:b/>
                      <w:bCs/>
                      <w:sz w:val="21"/>
                      <w:szCs w:val="21"/>
                      <w:lang w:eastAsia="zh-CN"/>
                    </w:rPr>
                    <w:t>日</w:t>
                  </w:r>
                  <w:r>
                    <w:rPr>
                      <w:rFonts w:hint="default" w:ascii="Times New Roman" w:hAnsi="Times New Roman" w:eastAsia="宋体" w:cs="Times New Roman"/>
                      <w:b/>
                      <w:bCs/>
                      <w:sz w:val="21"/>
                      <w:szCs w:val="21"/>
                    </w:rPr>
                    <w:t>产</w:t>
                  </w:r>
                  <w:r>
                    <w:rPr>
                      <w:rFonts w:hint="eastAsia" w:cs="Times New Roman"/>
                      <w:b/>
                      <w:bCs/>
                      <w:sz w:val="21"/>
                      <w:szCs w:val="21"/>
                      <w:lang w:val="en-US" w:eastAsia="zh-CN"/>
                    </w:rPr>
                    <w:t>6666.67件智能温度传感器</w:t>
                  </w: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p>
              </w:tc>
              <w:tc>
                <w:tcPr>
                  <w:tcW w:w="1840"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eastAsia" w:cs="Times New Roman"/>
                      <w:b/>
                      <w:bCs/>
                      <w:sz w:val="21"/>
                      <w:szCs w:val="21"/>
                      <w:lang w:val="en-US" w:eastAsia="zh-CN"/>
                    </w:rPr>
                    <w:t>04</w:t>
                  </w:r>
                  <w:r>
                    <w:rPr>
                      <w:rFonts w:hint="default" w:ascii="Times New Roman" w:hAnsi="Times New Roman" w:eastAsia="宋体" w:cs="Times New Roman"/>
                      <w:b/>
                      <w:bCs/>
                      <w:sz w:val="21"/>
                      <w:szCs w:val="21"/>
                    </w:rPr>
                    <w:t>月</w:t>
                  </w:r>
                  <w:r>
                    <w:rPr>
                      <w:rFonts w:hint="eastAsia" w:cs="Times New Roman"/>
                      <w:b/>
                      <w:bCs/>
                      <w:sz w:val="21"/>
                      <w:szCs w:val="21"/>
                      <w:lang w:val="en-US" w:eastAsia="zh-CN"/>
                    </w:rPr>
                    <w:t>20</w:t>
                  </w:r>
                  <w:r>
                    <w:rPr>
                      <w:rFonts w:hint="default" w:ascii="Times New Roman" w:hAnsi="Times New Roman" w:eastAsia="宋体" w:cs="Times New Roman"/>
                      <w:b/>
                      <w:bCs/>
                      <w:sz w:val="21"/>
                      <w:szCs w:val="21"/>
                    </w:rPr>
                    <w:t>日</w:t>
                  </w:r>
                </w:p>
              </w:tc>
              <w:tc>
                <w:tcPr>
                  <w:tcW w:w="1843"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r>
                    <w:rPr>
                      <w:rFonts w:hint="eastAsia" w:cs="Times New Roman"/>
                      <w:b/>
                      <w:bCs/>
                      <w:sz w:val="21"/>
                      <w:szCs w:val="21"/>
                      <w:lang w:val="en-US" w:eastAsia="zh-CN"/>
                    </w:rPr>
                    <w:t>04</w:t>
                  </w:r>
                  <w:r>
                    <w:rPr>
                      <w:rFonts w:hint="default" w:ascii="Times New Roman" w:hAnsi="Times New Roman" w:eastAsia="宋体" w:cs="Times New Roman"/>
                      <w:b/>
                      <w:bCs/>
                      <w:sz w:val="21"/>
                      <w:szCs w:val="21"/>
                    </w:rPr>
                    <w:t>月</w:t>
                  </w:r>
                  <w:r>
                    <w:rPr>
                      <w:rFonts w:hint="eastAsia" w:cs="Times New Roman"/>
                      <w:b/>
                      <w:bCs/>
                      <w:sz w:val="21"/>
                      <w:szCs w:val="21"/>
                      <w:lang w:val="en-US" w:eastAsia="zh-CN"/>
                    </w:rPr>
                    <w:t>21</w:t>
                  </w:r>
                  <w:r>
                    <w:rPr>
                      <w:rFonts w:hint="default" w:ascii="Times New Roman" w:hAnsi="Times New Roman" w:eastAsia="宋体" w:cs="Times New Roman"/>
                      <w:b/>
                      <w:bCs/>
                      <w:sz w:val="21"/>
                      <w:szCs w:val="21"/>
                    </w:rPr>
                    <w:t>日</w:t>
                  </w: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rPr>
                  </w:pPr>
                </w:p>
              </w:tc>
              <w:tc>
                <w:tcPr>
                  <w:tcW w:w="9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实际产量</w:t>
                  </w:r>
                  <w:r>
                    <w:rPr>
                      <w:rFonts w:hint="eastAsia" w:cs="Times New Roman"/>
                      <w:b/>
                      <w:bCs/>
                      <w:color w:val="auto"/>
                      <w:sz w:val="21"/>
                      <w:szCs w:val="21"/>
                      <w:lang w:eastAsia="zh-CN"/>
                    </w:rPr>
                    <w:t>（件）</w:t>
                  </w:r>
                </w:p>
              </w:tc>
              <w:tc>
                <w:tcPr>
                  <w:tcW w:w="9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生产负荷</w:t>
                  </w:r>
                </w:p>
              </w:tc>
              <w:tc>
                <w:tcPr>
                  <w:tcW w:w="9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实际产量</w:t>
                  </w:r>
                  <w:r>
                    <w:rPr>
                      <w:rFonts w:hint="eastAsia" w:cs="Times New Roman"/>
                      <w:b/>
                      <w:bCs/>
                      <w:color w:val="auto"/>
                      <w:sz w:val="21"/>
                      <w:szCs w:val="21"/>
                      <w:lang w:eastAsia="zh-CN"/>
                    </w:rPr>
                    <w:t>（件）</w:t>
                  </w:r>
                </w:p>
              </w:tc>
              <w:tc>
                <w:tcPr>
                  <w:tcW w:w="92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生产负荷</w:t>
                  </w:r>
                </w:p>
              </w:tc>
            </w:tr>
            <w:tr>
              <w:tblPrEx>
                <w:tblBorders>
                  <w:top w:val="single" w:color="auto" w:sz="8" w:space="0"/>
                  <w:left w:val="single" w:color="auto" w:sz="8" w:space="0"/>
                  <w:bottom w:val="single" w:color="auto" w:sz="4"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b/>
                      <w:bCs/>
                      <w:sz w:val="21"/>
                      <w:szCs w:val="21"/>
                      <w:lang w:val="en-US" w:eastAsia="zh-CN"/>
                    </w:rPr>
                    <w:t>智能温度传感器</w:t>
                  </w:r>
                </w:p>
              </w:tc>
              <w:tc>
                <w:tcPr>
                  <w:tcW w:w="9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6000</w:t>
                  </w:r>
                </w:p>
              </w:tc>
              <w:tc>
                <w:tcPr>
                  <w:tcW w:w="9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90.0%</w:t>
                  </w:r>
                </w:p>
              </w:tc>
              <w:tc>
                <w:tcPr>
                  <w:tcW w:w="9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6000</w:t>
                  </w:r>
                </w:p>
              </w:tc>
              <w:tc>
                <w:tcPr>
                  <w:tcW w:w="92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val="0"/>
                      <w:bCs w:val="0"/>
                      <w:color w:val="auto"/>
                      <w:sz w:val="21"/>
                      <w:szCs w:val="21"/>
                      <w:lang w:val="en-US" w:eastAsia="zh-CN"/>
                    </w:rPr>
                  </w:pPr>
                  <w:r>
                    <w:rPr>
                      <w:rFonts w:hint="eastAsia"/>
                      <w:b w:val="0"/>
                      <w:bCs w:val="0"/>
                      <w:color w:val="auto"/>
                      <w:sz w:val="21"/>
                      <w:szCs w:val="21"/>
                      <w:lang w:val="en-US" w:eastAsia="zh-CN"/>
                    </w:rPr>
                    <w:t>90.0%</w:t>
                  </w:r>
                </w:p>
              </w:tc>
            </w:tr>
          </w:tbl>
          <w:p>
            <w:pPr>
              <w:widowControl w:val="0"/>
              <w:spacing w:line="360" w:lineRule="auto"/>
              <w:jc w:val="left"/>
              <w:rPr>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shd w:val="clear" w:color="auto" w:fill="auto"/>
          </w:tcPr>
          <w:p>
            <w:pPr>
              <w:widowControl w:val="0"/>
              <w:numPr>
                <w:ilvl w:val="0"/>
                <w:numId w:val="0"/>
              </w:numPr>
              <w:spacing w:line="360" w:lineRule="auto"/>
            </w:pPr>
            <w:r>
              <w:rPr>
                <w:rFonts w:hint="eastAsia"/>
                <w:b/>
                <w:bCs/>
                <w:sz w:val="24"/>
                <w:szCs w:val="24"/>
                <w:lang w:eastAsia="zh-CN"/>
              </w:rPr>
              <w:t>二、</w:t>
            </w:r>
            <w:r>
              <w:rPr>
                <w:rFonts w:hint="eastAsia"/>
                <w:b/>
                <w:bCs/>
                <w:sz w:val="24"/>
                <w:szCs w:val="24"/>
                <w:lang w:val="en-US" w:eastAsia="zh-CN"/>
              </w:rPr>
              <w:t>验收</w:t>
            </w:r>
            <w:r>
              <w:rPr>
                <w:rFonts w:hint="eastAsia"/>
                <w:b/>
                <w:bCs/>
                <w:sz w:val="24"/>
                <w:szCs w:val="24"/>
              </w:rPr>
              <w:t>监测结果</w:t>
            </w:r>
          </w:p>
          <w:p>
            <w:pPr>
              <w:pStyle w:val="70"/>
              <w:numPr>
                <w:ilvl w:val="0"/>
                <w:numId w:val="0"/>
              </w:numPr>
              <w:tabs>
                <w:tab w:val="left" w:pos="2520"/>
              </w:tabs>
              <w:spacing w:before="0" w:line="360" w:lineRule="auto"/>
              <w:rPr>
                <w:rFonts w:hint="eastAsia" w:ascii="Times New Roman" w:hAnsi="Times New Roman"/>
                <w:b/>
                <w:bCs w:val="0"/>
                <w:szCs w:val="21"/>
                <w:lang w:val="en-US" w:eastAsia="zh-CN"/>
              </w:rPr>
            </w:pPr>
            <w:r>
              <w:rPr>
                <w:rFonts w:hint="eastAsia" w:ascii="Times New Roman" w:hAnsi="Times New Roman"/>
                <w:b/>
                <w:bCs w:val="0"/>
                <w:szCs w:val="21"/>
                <w:lang w:val="en-US" w:eastAsia="zh-CN"/>
              </w:rPr>
              <w:t>1、废水</w:t>
            </w:r>
          </w:p>
          <w:p>
            <w:pPr>
              <w:keepNext w:val="0"/>
              <w:keepLines w:val="0"/>
              <w:pageBreakBefore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b/>
                <w:bCs/>
                <w:kern w:val="0"/>
                <w:sz w:val="21"/>
                <w:szCs w:val="21"/>
              </w:rPr>
            </w:pPr>
            <w:r>
              <w:rPr>
                <w:rFonts w:hint="eastAsia" w:ascii="Times New Roman" w:hAnsi="Times New Roman"/>
                <w:b/>
                <w:szCs w:val="21"/>
                <w:lang w:val="en-US" w:eastAsia="zh-CN"/>
              </w:rPr>
              <w:t xml:space="preserve">   </w:t>
            </w:r>
            <w:r>
              <w:rPr>
                <w:rFonts w:ascii="Times New Roman" w:hAnsi="Times New Roman" w:eastAsiaTheme="minorEastAsia"/>
                <w:b/>
                <w:bCs/>
                <w:kern w:val="0"/>
                <w:sz w:val="21"/>
                <w:szCs w:val="21"/>
              </w:rPr>
              <w:t xml:space="preserve">表7-2 </w:t>
            </w:r>
            <w:r>
              <w:rPr>
                <w:rFonts w:ascii="Times New Roman" w:hAnsi="Times New Roman" w:eastAsiaTheme="minorEastAsia"/>
                <w:b/>
                <w:bCs/>
                <w:sz w:val="21"/>
                <w:szCs w:val="21"/>
              </w:rPr>
              <w:t>废水</w:t>
            </w:r>
            <w:r>
              <w:rPr>
                <w:rFonts w:ascii="Times New Roman" w:hAnsi="Times New Roman" w:eastAsiaTheme="minorEastAsia"/>
                <w:b/>
                <w:bCs/>
                <w:kern w:val="0"/>
                <w:sz w:val="21"/>
                <w:szCs w:val="21"/>
              </w:rPr>
              <w:t>监测结果</w:t>
            </w:r>
          </w:p>
          <w:tbl>
            <w:tblPr>
              <w:tblStyle w:val="114"/>
              <w:tblW w:w="8639" w:type="dxa"/>
              <w:tblInd w:w="0" w:type="dxa"/>
              <w:tblLayout w:type="autofit"/>
              <w:tblCellMar>
                <w:top w:w="0" w:type="dxa"/>
                <w:left w:w="0" w:type="dxa"/>
                <w:bottom w:w="0" w:type="dxa"/>
                <w:right w:w="0" w:type="dxa"/>
              </w:tblCellMar>
            </w:tblPr>
            <w:tblGrid>
              <w:gridCol w:w="621"/>
              <w:gridCol w:w="1315"/>
              <w:gridCol w:w="719"/>
              <w:gridCol w:w="727"/>
              <w:gridCol w:w="1049"/>
              <w:gridCol w:w="1049"/>
              <w:gridCol w:w="1049"/>
              <w:gridCol w:w="1049"/>
              <w:gridCol w:w="1061"/>
            </w:tblGrid>
            <w:tr>
              <w:trPr>
                <w:trHeight w:val="23" w:hRule="atLeast"/>
              </w:trPr>
              <w:tc>
                <w:tcPr>
                  <w:tcW w:w="36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测点</w:t>
                  </w:r>
                </w:p>
              </w:tc>
              <w:tc>
                <w:tcPr>
                  <w:tcW w:w="76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采样日期</w:t>
                  </w:r>
                </w:p>
              </w:tc>
              <w:tc>
                <w:tcPr>
                  <w:tcW w:w="41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采样</w:t>
                  </w:r>
                </w:p>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时间</w:t>
                  </w:r>
                </w:p>
              </w:tc>
              <w:tc>
                <w:tcPr>
                  <w:tcW w:w="4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性状</w:t>
                  </w:r>
                </w:p>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描述</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pH值</w:t>
                  </w:r>
                </w:p>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lang w:eastAsia="zh-CN"/>
                    </w:rPr>
                    <w:t>无量纲</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化学需氧量mg/L</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氨氮mg/L</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总磷mg/L</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悬浮物mg/L</w:t>
                  </w:r>
                </w:p>
              </w:tc>
            </w:tr>
            <w:tr>
              <w:tblPrEx>
                <w:tblCellMar>
                  <w:top w:w="0" w:type="dxa"/>
                  <w:left w:w="0" w:type="dxa"/>
                  <w:bottom w:w="0" w:type="dxa"/>
                  <w:right w:w="0" w:type="dxa"/>
                </w:tblCellMar>
              </w:tblPrEx>
              <w:trPr>
                <w:trHeight w:val="23" w:hRule="atLeast"/>
              </w:trPr>
              <w:tc>
                <w:tcPr>
                  <w:tcW w:w="360"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生活污水排放口</w:t>
                  </w:r>
                </w:p>
              </w:tc>
              <w:tc>
                <w:tcPr>
                  <w:tcW w:w="761"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2023.04.20</w:t>
                  </w: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10:11</w:t>
                  </w:r>
                </w:p>
              </w:tc>
              <w:tc>
                <w:tcPr>
                  <w:tcW w:w="420" w:type="pct"/>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微黄微浊</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6.9</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129</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1.50</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37</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12:11</w:t>
                  </w:r>
                </w:p>
              </w:tc>
              <w:tc>
                <w:tcPr>
                  <w:tcW w:w="420" w:type="pct"/>
                  <w:vMerge w:val="continue"/>
                  <w:tcBorders>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6.8</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139</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22.8</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1.50</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30</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14:11</w:t>
                  </w:r>
                </w:p>
              </w:tc>
              <w:tc>
                <w:tcPr>
                  <w:tcW w:w="420" w:type="pct"/>
                  <w:vMerge w:val="continue"/>
                  <w:tcBorders>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155</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22.6</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1.48</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36</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16:12</w:t>
                  </w:r>
                </w:p>
              </w:tc>
              <w:tc>
                <w:tcPr>
                  <w:tcW w:w="420" w:type="pct"/>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148</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23.4</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1.48</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33</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83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均值</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6.8-7.1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143</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23.0</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1.49</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34</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2023.04.21</w:t>
                  </w: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10:12</w:t>
                  </w:r>
                </w:p>
              </w:tc>
              <w:tc>
                <w:tcPr>
                  <w:tcW w:w="420" w:type="pct"/>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微黄微浊</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159</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1.48</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32</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12:12</w:t>
                  </w:r>
                </w:p>
              </w:tc>
              <w:tc>
                <w:tcPr>
                  <w:tcW w:w="420" w:type="pct"/>
                  <w:vMerge w:val="continue"/>
                  <w:tcBorders>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6.8</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144</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22.8</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1.50</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35</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14:12</w:t>
                  </w:r>
                </w:p>
              </w:tc>
              <w:tc>
                <w:tcPr>
                  <w:tcW w:w="420" w:type="pct"/>
                  <w:vMerge w:val="continue"/>
                  <w:tcBorders>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7.0</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150</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23.5</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1.49</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29</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18"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16:13</w:t>
                  </w:r>
                </w:p>
              </w:tc>
              <w:tc>
                <w:tcPr>
                  <w:tcW w:w="420" w:type="pct"/>
                  <w:vMerge w:val="continue"/>
                  <w:tcBorders>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137</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1.48</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34</w:t>
                  </w:r>
                </w:p>
              </w:tc>
            </w:tr>
            <w:tr>
              <w:tblPrEx>
                <w:tblCellMar>
                  <w:top w:w="0" w:type="dxa"/>
                  <w:left w:w="0" w:type="dxa"/>
                  <w:bottom w:w="0" w:type="dxa"/>
                  <w:right w:w="0" w:type="dxa"/>
                </w:tblCellMar>
              </w:tblPrEx>
              <w:trPr>
                <w:trHeight w:val="23" w:hRule="atLeast"/>
              </w:trPr>
              <w:tc>
                <w:tcPr>
                  <w:tcW w:w="360"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761" w:type="pct"/>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p>
              </w:tc>
              <w:tc>
                <w:tcPr>
                  <w:tcW w:w="837" w:type="pct"/>
                  <w:gridSpan w:val="2"/>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均值</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6.8-7.1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148</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23.1</w:t>
                  </w:r>
                </w:p>
              </w:tc>
              <w:tc>
                <w:tcPr>
                  <w:tcW w:w="1049"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1.49</w:t>
                  </w:r>
                </w:p>
              </w:tc>
              <w:tc>
                <w:tcPr>
                  <w:tcW w:w="1061" w:type="dxa"/>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32</w:t>
                  </w:r>
                </w:p>
              </w:tc>
            </w:tr>
            <w:tr>
              <w:tblPrEx>
                <w:tblCellMar>
                  <w:top w:w="0" w:type="dxa"/>
                  <w:left w:w="0" w:type="dxa"/>
                  <w:bottom w:w="0" w:type="dxa"/>
                  <w:right w:w="0" w:type="dxa"/>
                </w:tblCellMar>
              </w:tblPrEx>
              <w:trPr>
                <w:trHeight w:val="23" w:hRule="atLeast"/>
              </w:trPr>
              <w:tc>
                <w:tcPr>
                  <w:tcW w:w="5000" w:type="pct"/>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keepNext w:val="0"/>
                    <w:keepLines w:val="0"/>
                    <w:pageBreakBefore w:val="0"/>
                    <w:widowControl w:val="0"/>
                    <w:kinsoku/>
                    <w:wordWrap/>
                    <w:overflowPunct/>
                    <w:topLinePunct w:val="0"/>
                    <w:autoSpaceDE/>
                    <w:autoSpaceDN/>
                    <w:bidi w:val="0"/>
                    <w:adjustRightInd/>
                    <w:snapToGrid/>
                    <w:spacing w:line="240" w:lineRule="auto"/>
                    <w:ind w:left="-5" w:leftChars="0" w:right="-105" w:rightChars="-50" w:firstLine="5" w:firstLineChars="0"/>
                    <w:jc w:val="left"/>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结论：</w:t>
                  </w:r>
                  <w:r>
                    <w:rPr>
                      <w:rFonts w:hint="default" w:ascii="Times New Roman" w:hAnsi="Times New Roman" w:eastAsia="宋体" w:cs="Times New Roman"/>
                      <w:kern w:val="2"/>
                      <w:sz w:val="21"/>
                      <w:szCs w:val="21"/>
                      <w:lang w:eastAsia="zh-CN"/>
                    </w:rPr>
                    <w:t>202</w:t>
                  </w:r>
                  <w:r>
                    <w:rPr>
                      <w:rFonts w:hint="default" w:ascii="Times New Roman" w:hAnsi="Times New Roman" w:eastAsia="宋体" w:cs="Times New Roman"/>
                      <w:kern w:val="2"/>
                      <w:sz w:val="21"/>
                      <w:szCs w:val="21"/>
                      <w:lang w:val="en-US" w:eastAsia="zh-CN"/>
                    </w:rPr>
                    <w:t>3</w:t>
                  </w:r>
                  <w:r>
                    <w:rPr>
                      <w:rFonts w:hint="default" w:ascii="Times New Roman" w:hAnsi="Times New Roman" w:eastAsia="宋体" w:cs="Times New Roman"/>
                      <w:kern w:val="2"/>
                      <w:sz w:val="21"/>
                      <w:szCs w:val="21"/>
                      <w:lang w:eastAsia="zh-CN"/>
                    </w:rPr>
                    <w:t>年</w:t>
                  </w:r>
                  <w:r>
                    <w:rPr>
                      <w:rFonts w:hint="default" w:ascii="Times New Roman" w:hAnsi="Times New Roman" w:eastAsia="宋体" w:cs="Times New Roman"/>
                      <w:kern w:val="2"/>
                      <w:sz w:val="21"/>
                      <w:szCs w:val="21"/>
                      <w:lang w:val="en-US" w:eastAsia="zh-CN"/>
                    </w:rPr>
                    <w:t>04</w:t>
                  </w:r>
                  <w:r>
                    <w:rPr>
                      <w:rFonts w:hint="default" w:ascii="Times New Roman" w:hAnsi="Times New Roman" w:eastAsia="宋体" w:cs="Times New Roman"/>
                      <w:kern w:val="2"/>
                      <w:sz w:val="21"/>
                      <w:szCs w:val="21"/>
                      <w:lang w:eastAsia="zh-CN"/>
                    </w:rPr>
                    <w:t>月</w:t>
                  </w:r>
                  <w:r>
                    <w:rPr>
                      <w:rFonts w:hint="default" w:ascii="Times New Roman" w:hAnsi="Times New Roman" w:eastAsia="宋体" w:cs="Times New Roman"/>
                      <w:kern w:val="2"/>
                      <w:sz w:val="21"/>
                      <w:szCs w:val="21"/>
                      <w:lang w:val="en-US" w:eastAsia="zh-CN"/>
                    </w:rPr>
                    <w:t>20</w:t>
                  </w:r>
                  <w:r>
                    <w:rPr>
                      <w:rFonts w:hint="default" w:ascii="Times New Roman" w:hAnsi="Times New Roman" w:eastAsia="宋体" w:cs="Times New Roman"/>
                      <w:kern w:val="2"/>
                      <w:sz w:val="21"/>
                      <w:szCs w:val="21"/>
                      <w:lang w:eastAsia="zh-CN"/>
                    </w:rPr>
                    <w:t>日~202</w:t>
                  </w:r>
                  <w:r>
                    <w:rPr>
                      <w:rFonts w:hint="default" w:ascii="Times New Roman" w:hAnsi="Times New Roman" w:eastAsia="宋体" w:cs="Times New Roman"/>
                      <w:kern w:val="2"/>
                      <w:sz w:val="21"/>
                      <w:szCs w:val="21"/>
                      <w:lang w:val="en-US" w:eastAsia="zh-CN"/>
                    </w:rPr>
                    <w:t>3</w:t>
                  </w:r>
                  <w:r>
                    <w:rPr>
                      <w:rFonts w:hint="default" w:ascii="Times New Roman" w:hAnsi="Times New Roman" w:eastAsia="宋体" w:cs="Times New Roman"/>
                      <w:kern w:val="2"/>
                      <w:sz w:val="21"/>
                      <w:szCs w:val="21"/>
                      <w:lang w:eastAsia="zh-CN"/>
                    </w:rPr>
                    <w:t>年</w:t>
                  </w:r>
                  <w:r>
                    <w:rPr>
                      <w:rFonts w:hint="default" w:ascii="Times New Roman" w:hAnsi="Times New Roman" w:eastAsia="宋体" w:cs="Times New Roman"/>
                      <w:kern w:val="2"/>
                      <w:sz w:val="21"/>
                      <w:szCs w:val="21"/>
                      <w:lang w:val="en-US" w:eastAsia="zh-CN"/>
                    </w:rPr>
                    <w:t>04</w:t>
                  </w:r>
                  <w:r>
                    <w:rPr>
                      <w:rFonts w:hint="default" w:ascii="Times New Roman" w:hAnsi="Times New Roman" w:eastAsia="宋体" w:cs="Times New Roman"/>
                      <w:kern w:val="2"/>
                      <w:sz w:val="21"/>
                      <w:szCs w:val="21"/>
                      <w:lang w:eastAsia="zh-CN"/>
                    </w:rPr>
                    <w:t>月</w:t>
                  </w:r>
                  <w:r>
                    <w:rPr>
                      <w:rFonts w:hint="default" w:ascii="Times New Roman" w:hAnsi="Times New Roman" w:eastAsia="宋体" w:cs="Times New Roman"/>
                      <w:kern w:val="2"/>
                      <w:sz w:val="21"/>
                      <w:szCs w:val="21"/>
                      <w:lang w:val="en-US" w:eastAsia="zh-CN"/>
                    </w:rPr>
                    <w:t>21</w:t>
                  </w:r>
                  <w:r>
                    <w:rPr>
                      <w:rFonts w:hint="default" w:ascii="Times New Roman" w:hAnsi="Times New Roman" w:eastAsia="宋体" w:cs="Times New Roman"/>
                      <w:kern w:val="2"/>
                      <w:sz w:val="21"/>
                      <w:szCs w:val="21"/>
                      <w:lang w:eastAsia="zh-CN"/>
                    </w:rPr>
                    <w:t>日，</w:t>
                  </w:r>
                  <w:r>
                    <w:rPr>
                      <w:rFonts w:hint="default" w:ascii="Times New Roman" w:hAnsi="Times New Roman" w:eastAsia="宋体" w:cs="Times New Roman"/>
                      <w:kern w:val="2"/>
                      <w:sz w:val="21"/>
                      <w:szCs w:val="21"/>
                    </w:rPr>
                    <w:t>生活污水排放口</w:t>
                  </w:r>
                  <w:r>
                    <w:rPr>
                      <w:rFonts w:hint="default" w:ascii="Times New Roman" w:hAnsi="Times New Roman" w:eastAsia="宋体" w:cs="Times New Roman"/>
                      <w:kern w:val="2"/>
                      <w:sz w:val="21"/>
                      <w:szCs w:val="21"/>
                      <w:lang w:eastAsia="zh-CN"/>
                    </w:rPr>
                    <w:t>检测结果中</w:t>
                  </w:r>
                  <w:r>
                    <w:rPr>
                      <w:rFonts w:hint="default" w:ascii="Times New Roman" w:hAnsi="Times New Roman" w:eastAsia="宋体" w:cs="Times New Roman"/>
                      <w:b w:val="0"/>
                      <w:bCs/>
                      <w:sz w:val="21"/>
                      <w:szCs w:val="21"/>
                    </w:rPr>
                    <w:t>pH值</w:t>
                  </w:r>
                  <w:r>
                    <w:rPr>
                      <w:rFonts w:hint="default" w:ascii="Times New Roman" w:hAnsi="Times New Roman" w:eastAsia="宋体" w:cs="Times New Roman"/>
                      <w:b w:val="0"/>
                      <w:bCs/>
                      <w:sz w:val="21"/>
                      <w:szCs w:val="21"/>
                      <w:lang w:eastAsia="zh-CN"/>
                    </w:rPr>
                    <w:t>、</w:t>
                  </w:r>
                  <w:r>
                    <w:rPr>
                      <w:rFonts w:hint="default" w:ascii="Times New Roman" w:hAnsi="Times New Roman" w:eastAsia="宋体" w:cs="Times New Roman"/>
                      <w:b w:val="0"/>
                      <w:bCs/>
                      <w:sz w:val="21"/>
                      <w:szCs w:val="21"/>
                    </w:rPr>
                    <w:t>悬浮物</w:t>
                  </w:r>
                  <w:r>
                    <w:rPr>
                      <w:rFonts w:hint="default" w:ascii="Times New Roman" w:hAnsi="Times New Roman" w:eastAsia="宋体" w:cs="Times New Roman"/>
                      <w:b w:val="0"/>
                      <w:bCs/>
                      <w:sz w:val="21"/>
                      <w:szCs w:val="21"/>
                      <w:lang w:eastAsia="zh-CN"/>
                    </w:rPr>
                    <w:t>、</w:t>
                  </w:r>
                  <w:r>
                    <w:rPr>
                      <w:rFonts w:hint="default" w:ascii="Times New Roman" w:hAnsi="Times New Roman" w:eastAsia="宋体" w:cs="Times New Roman"/>
                      <w:b w:val="0"/>
                      <w:bCs/>
                      <w:sz w:val="21"/>
                      <w:szCs w:val="21"/>
                    </w:rPr>
                    <w:t>化学需氧量</w:t>
                  </w:r>
                  <w:r>
                    <w:rPr>
                      <w:rFonts w:hint="default" w:ascii="Times New Roman" w:hAnsi="Times New Roman" w:eastAsia="宋体" w:cs="Times New Roman"/>
                      <w:b w:val="0"/>
                      <w:bCs/>
                      <w:sz w:val="21"/>
                      <w:szCs w:val="21"/>
                      <w:lang w:eastAsia="zh-CN"/>
                    </w:rPr>
                    <w:t>、</w:t>
                  </w:r>
                  <w:r>
                    <w:rPr>
                      <w:rFonts w:hint="default" w:ascii="Times New Roman" w:hAnsi="Times New Roman" w:eastAsia="宋体" w:cs="Times New Roman"/>
                      <w:b w:val="0"/>
                      <w:bCs/>
                      <w:sz w:val="21"/>
                      <w:szCs w:val="21"/>
                    </w:rPr>
                    <w:t>氨氮、总磷</w:t>
                  </w:r>
                  <w:r>
                    <w:rPr>
                      <w:rFonts w:hint="default" w:ascii="Times New Roman" w:hAnsi="Times New Roman" w:eastAsia="宋体" w:cs="Times New Roman"/>
                      <w:kern w:val="2"/>
                      <w:sz w:val="21"/>
                      <w:szCs w:val="21"/>
                      <w:lang w:eastAsia="zh-CN"/>
                    </w:rPr>
                    <w:t>浓度均符合限值要求。</w:t>
                  </w:r>
                </w:p>
              </w:tc>
            </w:tr>
          </w:tbl>
          <w:p>
            <w:pPr>
              <w:pStyle w:val="8"/>
            </w:pPr>
          </w:p>
          <w:p>
            <w:pPr>
              <w:pStyle w:val="70"/>
              <w:numPr>
                <w:ilvl w:val="0"/>
                <w:numId w:val="0"/>
              </w:numPr>
              <w:tabs>
                <w:tab w:val="left" w:pos="2520"/>
              </w:tabs>
              <w:spacing w:before="0" w:line="360" w:lineRule="auto"/>
              <w:rPr>
                <w:rFonts w:hint="eastAsia" w:ascii="Times New Roman" w:hAnsi="Times New Roman"/>
                <w:b/>
                <w:bCs w:val="0"/>
                <w:szCs w:val="21"/>
                <w:lang w:val="en-US" w:eastAsia="zh-CN"/>
              </w:rPr>
            </w:pPr>
            <w:r>
              <w:rPr>
                <w:rFonts w:hint="eastAsia" w:ascii="Times New Roman" w:hAnsi="Times New Roman"/>
                <w:b/>
                <w:bCs w:val="0"/>
                <w:szCs w:val="21"/>
                <w:lang w:val="en-US" w:eastAsia="zh-CN"/>
              </w:rPr>
              <w:t>2、有组织废气</w:t>
            </w:r>
          </w:p>
          <w:p>
            <w:pPr>
              <w:pStyle w:val="70"/>
              <w:keepNext w:val="0"/>
              <w:keepLines w:val="0"/>
              <w:pageBreakBefore w:val="0"/>
              <w:widowControl/>
              <w:numPr>
                <w:ilvl w:val="0"/>
                <w:numId w:val="0"/>
              </w:numPr>
              <w:tabs>
                <w:tab w:val="left" w:pos="2520"/>
              </w:tabs>
              <w:kinsoku/>
              <w:wordWrap/>
              <w:overflowPunct/>
              <w:topLinePunct w:val="0"/>
              <w:autoSpaceDE/>
              <w:autoSpaceDN/>
              <w:bidi w:val="0"/>
              <w:adjustRightInd/>
              <w:snapToGrid/>
              <w:spacing w:before="0" w:line="240" w:lineRule="auto"/>
              <w:jc w:val="center"/>
              <w:textAlignment w:val="auto"/>
              <w:rPr>
                <w:rFonts w:hint="eastAsia" w:ascii="Times New Roman" w:hAnsi="Times New Roman"/>
                <w:b/>
                <w:bCs w:val="0"/>
                <w:szCs w:val="21"/>
                <w:lang w:val="en-US" w:eastAsia="zh-CN"/>
              </w:rPr>
            </w:pPr>
            <w:r>
              <w:rPr>
                <w:rFonts w:ascii="Times New Roman" w:hAnsi="Times New Roman" w:eastAsiaTheme="minorEastAsia"/>
                <w:b/>
                <w:bCs/>
                <w:kern w:val="0"/>
                <w:sz w:val="21"/>
                <w:szCs w:val="21"/>
              </w:rPr>
              <w:t xml:space="preserve">表7-2 </w:t>
            </w:r>
            <w:r>
              <w:rPr>
                <w:rFonts w:hint="eastAsia" w:ascii="Times New Roman" w:hAnsi="Times New Roman" w:eastAsiaTheme="minorEastAsia"/>
                <w:b/>
                <w:bCs/>
                <w:sz w:val="21"/>
                <w:szCs w:val="21"/>
                <w:lang w:eastAsia="zh-CN"/>
              </w:rPr>
              <w:t>有组织废气</w:t>
            </w:r>
            <w:r>
              <w:rPr>
                <w:rFonts w:ascii="Times New Roman" w:hAnsi="Times New Roman" w:eastAsiaTheme="minorEastAsia"/>
                <w:b/>
                <w:bCs/>
                <w:kern w:val="0"/>
                <w:sz w:val="21"/>
                <w:szCs w:val="21"/>
              </w:rPr>
              <w:t>监测结果</w:t>
            </w:r>
          </w:p>
          <w:tbl>
            <w:tblPr>
              <w:tblStyle w:val="114"/>
              <w:tblW w:w="4999" w:type="pct"/>
              <w:tblInd w:w="0" w:type="dxa"/>
              <w:tblLayout w:type="autofit"/>
              <w:tblCellMar>
                <w:top w:w="0" w:type="dxa"/>
                <w:left w:w="0" w:type="dxa"/>
                <w:bottom w:w="0" w:type="dxa"/>
                <w:right w:w="0" w:type="dxa"/>
              </w:tblCellMar>
            </w:tblPr>
            <w:tblGrid>
              <w:gridCol w:w="4222"/>
              <w:gridCol w:w="4422"/>
            </w:tblGrid>
            <w:tr>
              <w:tblPrEx>
                <w:tblCellMar>
                  <w:top w:w="0" w:type="dxa"/>
                  <w:left w:w="0" w:type="dxa"/>
                  <w:bottom w:w="0" w:type="dxa"/>
                  <w:right w:w="0" w:type="dxa"/>
                </w:tblCellMar>
              </w:tblPrEx>
              <w:trPr>
                <w:trHeight w:val="23" w:hRule="atLeast"/>
              </w:trPr>
              <w:tc>
                <w:tcPr>
                  <w:tcW w:w="244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检测点位：DA001(进口,出口)</w:t>
                  </w:r>
                </w:p>
              </w:tc>
              <w:tc>
                <w:tcPr>
                  <w:tcW w:w="255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采样日期：2023年04月20日</w:t>
                  </w:r>
                </w:p>
              </w:tc>
            </w:tr>
            <w:tr>
              <w:tblPrEx>
                <w:tblCellMar>
                  <w:top w:w="0" w:type="dxa"/>
                  <w:left w:w="0" w:type="dxa"/>
                  <w:bottom w:w="0" w:type="dxa"/>
                  <w:right w:w="0" w:type="dxa"/>
                </w:tblCellMar>
              </w:tblPrEx>
              <w:trPr>
                <w:trHeight w:val="23" w:hRule="atLeast"/>
              </w:trPr>
              <w:tc>
                <w:tcPr>
                  <w:tcW w:w="244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排气筒高度 (米)：20</w:t>
                  </w:r>
                </w:p>
              </w:tc>
              <w:tc>
                <w:tcPr>
                  <w:tcW w:w="255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净化装置名称：布袋除尘+两级活性炭</w:t>
                  </w:r>
                </w:p>
              </w:tc>
            </w:tr>
            <w:tr>
              <w:tblPrEx>
                <w:tblCellMar>
                  <w:top w:w="0" w:type="dxa"/>
                  <w:left w:w="0" w:type="dxa"/>
                  <w:bottom w:w="0" w:type="dxa"/>
                  <w:right w:w="0" w:type="dxa"/>
                </w:tblCellMar>
              </w:tblPrEx>
              <w:trPr>
                <w:trHeight w:val="23" w:hRule="atLeast"/>
              </w:trPr>
              <w:tc>
                <w:tcPr>
                  <w:tcW w:w="2442"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管道截面积(m²)：0.071 </w:t>
                  </w:r>
                </w:p>
              </w:tc>
              <w:tc>
                <w:tcPr>
                  <w:tcW w:w="2557"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测试工况负荷（%）：90</w:t>
                  </w:r>
                </w:p>
              </w:tc>
            </w:tr>
            <w:tr>
              <w:tblPrEx>
                <w:tblCellMar>
                  <w:top w:w="0" w:type="dxa"/>
                  <w:left w:w="0" w:type="dxa"/>
                  <w:bottom w:w="0" w:type="dxa"/>
                  <w:right w:w="0" w:type="dxa"/>
                </w:tblCellMar>
              </w:tblPrEx>
              <w:trPr>
                <w:trHeight w:val="23" w:hRule="atLeast"/>
              </w:trPr>
              <w:tc>
                <w:tcPr>
                  <w:tcW w:w="5000"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生产设备及型号： 抛光、焊接、破碎、焊接有机废气、密封、老化及注塑工序</w:t>
                  </w:r>
                </w:p>
              </w:tc>
            </w:tr>
          </w:tbl>
          <w:p>
            <w:pPr>
              <w:pStyle w:val="113"/>
            </w:pPr>
          </w:p>
          <w:tbl>
            <w:tblPr>
              <w:tblStyle w:val="114"/>
              <w:tblW w:w="8644" w:type="dxa"/>
              <w:tblInd w:w="0" w:type="dxa"/>
              <w:tblLayout w:type="autofit"/>
              <w:tblCellMar>
                <w:top w:w="0" w:type="dxa"/>
                <w:left w:w="0" w:type="dxa"/>
                <w:bottom w:w="0" w:type="dxa"/>
                <w:right w:w="0" w:type="dxa"/>
              </w:tblCellMar>
            </w:tblPr>
            <w:tblGrid>
              <w:gridCol w:w="447"/>
              <w:gridCol w:w="2010"/>
              <w:gridCol w:w="790"/>
              <w:gridCol w:w="897"/>
              <w:gridCol w:w="897"/>
              <w:gridCol w:w="900"/>
              <w:gridCol w:w="898"/>
              <w:gridCol w:w="898"/>
              <w:gridCol w:w="907"/>
            </w:tblGrid>
            <w:tr>
              <w:trPr>
                <w:trHeight w:val="23" w:hRule="atLeast"/>
              </w:trPr>
              <w:tc>
                <w:tcPr>
                  <w:tcW w:w="258"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序号</w:t>
                  </w:r>
                </w:p>
              </w:tc>
              <w:tc>
                <w:tcPr>
                  <w:tcW w:w="1164"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项目名称</w:t>
                  </w:r>
                </w:p>
              </w:tc>
              <w:tc>
                <w:tcPr>
                  <w:tcW w:w="456"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单位</w:t>
                  </w:r>
                </w:p>
              </w:tc>
              <w:tc>
                <w:tcPr>
                  <w:tcW w:w="311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检测结果</w:t>
                  </w:r>
                </w:p>
              </w:tc>
            </w:tr>
            <w:tr>
              <w:tblPrEx>
                <w:tblCellMar>
                  <w:top w:w="0" w:type="dxa"/>
                  <w:left w:w="0" w:type="dxa"/>
                  <w:bottom w:w="0" w:type="dxa"/>
                  <w:right w:w="0" w:type="dxa"/>
                </w:tblCellMar>
              </w:tblPrEx>
              <w:trPr>
                <w:trHeight w:val="23" w:hRule="atLeast"/>
              </w:trPr>
              <w:tc>
                <w:tcPr>
                  <w:tcW w:w="258" w:type="pct"/>
                  <w:vMerge w:val="continue"/>
                  <w:tcBorders>
                    <w:top w:val="single" w:color="000000" w:sz="8" w:space="0"/>
                    <w:left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1164" w:type="pct"/>
                  <w:vMerge w:val="continue"/>
                  <w:tcBorders>
                    <w:top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456" w:type="pct"/>
                  <w:vMerge w:val="continue"/>
                  <w:tcBorders>
                    <w:top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进口</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出口</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测点废气温度</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23</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25</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废气含湿率</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2.5</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测点废气流速</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m/s</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16.3</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17.4</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实测流量</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4.15×10</w:t>
                  </w:r>
                  <w:r>
                    <w:rPr>
                      <w:rFonts w:hint="default" w:ascii="Times New Roman" w:hAnsi="Times New Roman" w:eastAsia="宋体" w:cs="Times New Roman"/>
                      <w:kern w:val="2"/>
                      <w:sz w:val="21"/>
                      <w:szCs w:val="21"/>
                      <w:vertAlign w:val="superscript"/>
                    </w:rPr>
                    <w:t>3</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4.42×10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标干流量</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Nm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3.71×10</w:t>
                  </w:r>
                  <w:r>
                    <w:rPr>
                      <w:rFonts w:hint="default" w:ascii="Times New Roman" w:hAnsi="Times New Roman" w:eastAsia="宋体" w:cs="Times New Roman"/>
                      <w:kern w:val="2"/>
                      <w:sz w:val="21"/>
                      <w:szCs w:val="21"/>
                      <w:vertAlign w:val="superscript"/>
                    </w:rPr>
                    <w:t>3</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3.94×10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颗粒物浓度 </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21</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25</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22</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2.8</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2.5</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2.6</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颗粒物排放浓度</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bidi="ar-SA"/>
                    </w:rPr>
                  </w:pPr>
                  <w:r>
                    <w:rPr>
                      <w:rFonts w:hint="default" w:ascii="Times New Roman" w:hAnsi="Times New Roman" w:eastAsia="宋体" w:cs="Times New Roman"/>
                      <w:kern w:val="2"/>
                      <w:sz w:val="21"/>
                      <w:szCs w:val="21"/>
                    </w:rPr>
                    <w:t>23</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2.6</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颗粒物排放速率</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bidi="ar-SA"/>
                    </w:rPr>
                  </w:pPr>
                  <w:r>
                    <w:rPr>
                      <w:rFonts w:hint="default" w:ascii="Times New Roman" w:hAnsi="Times New Roman" w:eastAsia="宋体" w:cs="Times New Roman"/>
                      <w:kern w:val="2"/>
                      <w:sz w:val="21"/>
                      <w:szCs w:val="21"/>
                    </w:rPr>
                    <w:t>0.085</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0.010</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9</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311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88.2</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10</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锡浓度 </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eastAsia" w:cs="Times New Roman"/>
                      <w:kern w:val="2"/>
                      <w:sz w:val="21"/>
                      <w:szCs w:val="21"/>
                      <w:lang w:val="en-US" w:eastAsia="zh-CN"/>
                    </w:rPr>
                    <w:t>m</w:t>
                  </w:r>
                  <w:r>
                    <w:rPr>
                      <w:rFonts w:hint="default" w:ascii="Times New Roman" w:hAnsi="Times New Roman" w:eastAsia="宋体" w:cs="Times New Roman"/>
                      <w:kern w:val="2"/>
                      <w:sz w:val="21"/>
                      <w:szCs w:val="21"/>
                    </w:rPr>
                    <w:t>g/m</w:t>
                  </w:r>
                  <w:r>
                    <w:rPr>
                      <w:rFonts w:hint="default" w:ascii="Times New Roman" w:hAnsi="Times New Roman" w:eastAsia="宋体" w:cs="Times New Roman"/>
                      <w:kern w:val="2"/>
                      <w:sz w:val="21"/>
                      <w:szCs w:val="21"/>
                      <w:vertAlign w:val="superscript"/>
                    </w:rPr>
                    <w:t>3</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eastAsia"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11</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锡排放浓度</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eastAsia" w:cs="Times New Roman"/>
                      <w:kern w:val="2"/>
                      <w:sz w:val="21"/>
                      <w:szCs w:val="21"/>
                      <w:lang w:val="en-US" w:eastAsia="zh-CN"/>
                    </w:rPr>
                    <w:t>m</w:t>
                  </w:r>
                  <w:r>
                    <w:rPr>
                      <w:rFonts w:hint="default" w:ascii="Times New Roman" w:hAnsi="Times New Roman" w:eastAsia="宋体" w:cs="Times New Roman"/>
                      <w:kern w:val="2"/>
                      <w:sz w:val="21"/>
                      <w:szCs w:val="21"/>
                    </w:rPr>
                    <w:t>g/m</w:t>
                  </w:r>
                  <w:r>
                    <w:rPr>
                      <w:rFonts w:hint="default" w:ascii="Times New Roman" w:hAnsi="Times New Roman" w:eastAsia="宋体" w:cs="Times New Roman"/>
                      <w:kern w:val="2"/>
                      <w:sz w:val="21"/>
                      <w:szCs w:val="21"/>
                      <w:vertAlign w:val="superscript"/>
                    </w:rPr>
                    <w:t>3</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12</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锡排放速率</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&lt;7×10</w:t>
                  </w:r>
                  <w:r>
                    <w:rPr>
                      <w:rFonts w:hint="default" w:ascii="Times New Roman" w:hAnsi="Times New Roman" w:eastAsia="宋体" w:cs="Times New Roman"/>
                      <w:kern w:val="2"/>
                      <w:sz w:val="21"/>
                      <w:szCs w:val="21"/>
                      <w:vertAlign w:val="superscript"/>
                    </w:rPr>
                    <w:t>-6</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8</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-6</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13</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非甲烷总烃浓度 </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27.4</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25.4</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29.2</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1.77</w:t>
                  </w:r>
                </w:p>
              </w:tc>
              <w:tc>
                <w:tcPr>
                  <w:tcW w:w="52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1.89</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1.80</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14</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非甲烷总烃排放浓度</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27.3</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1.82</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15</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非甲烷总烃排放速率</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557"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0.101</w:t>
                  </w:r>
                </w:p>
              </w:tc>
              <w:tc>
                <w:tcPr>
                  <w:tcW w:w="1561"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7.17</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r>
            <w:tr>
              <w:tblPrEx>
                <w:tblCellMar>
                  <w:top w:w="0" w:type="dxa"/>
                  <w:left w:w="0" w:type="dxa"/>
                  <w:bottom w:w="0" w:type="dxa"/>
                  <w:right w:w="0" w:type="dxa"/>
                </w:tblCellMar>
              </w:tblPrEx>
              <w:trPr>
                <w:trHeight w:val="23" w:hRule="atLeast"/>
              </w:trPr>
              <w:tc>
                <w:tcPr>
                  <w:tcW w:w="258"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16</w:t>
                  </w:r>
                </w:p>
              </w:tc>
              <w:tc>
                <w:tcPr>
                  <w:tcW w:w="1164"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456"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3119"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92.9</w:t>
                  </w:r>
                </w:p>
              </w:tc>
            </w:tr>
            <w:tr>
              <w:tblPrEx>
                <w:tblCellMar>
                  <w:top w:w="0" w:type="dxa"/>
                  <w:left w:w="0" w:type="dxa"/>
                  <w:bottom w:w="0" w:type="dxa"/>
                  <w:right w:w="0" w:type="dxa"/>
                </w:tblCellMar>
              </w:tblPrEx>
              <w:trPr>
                <w:trHeight w:val="23" w:hRule="atLeast"/>
              </w:trPr>
              <w:tc>
                <w:tcPr>
                  <w:tcW w:w="5000" w:type="pct"/>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注</w:t>
                  </w:r>
                  <w:r>
                    <w:rPr>
                      <w:rFonts w:hint="eastAsia" w:cs="Times New Roman"/>
                      <w:kern w:val="2"/>
                      <w:sz w:val="21"/>
                      <w:szCs w:val="21"/>
                      <w:lang w:eastAsia="zh-CN"/>
                    </w:rPr>
                    <w:t>：</w:t>
                  </w:r>
                  <w:r>
                    <w:rPr>
                      <w:rFonts w:hint="default" w:ascii="Times New Roman" w:hAnsi="Times New Roman" w:eastAsia="宋体" w:cs="Times New Roman"/>
                      <w:kern w:val="2"/>
                      <w:sz w:val="21"/>
                      <w:szCs w:val="21"/>
                    </w:rPr>
                    <w:t>*号的为现场测试参数</w:t>
                  </w:r>
                  <w:r>
                    <w:rPr>
                      <w:rFonts w:hint="default" w:ascii="Times New Roman" w:hAnsi="Times New Roman" w:eastAsia="宋体" w:cs="Times New Roman"/>
                      <w:kern w:val="2"/>
                      <w:sz w:val="21"/>
                      <w:szCs w:val="21"/>
                      <w:lang w:eastAsia="zh-CN"/>
                    </w:rPr>
                    <w:t>；结论：</w:t>
                  </w:r>
                  <w:r>
                    <w:rPr>
                      <w:rFonts w:hint="default" w:ascii="Times New Roman" w:hAnsi="Times New Roman" w:eastAsia="宋体" w:cs="Times New Roman"/>
                      <w:kern w:val="2"/>
                      <w:sz w:val="21"/>
                      <w:szCs w:val="21"/>
                    </w:rPr>
                    <w:t>2023年0</w:t>
                  </w:r>
                  <w:r>
                    <w:rPr>
                      <w:rFonts w:hint="default" w:ascii="Times New Roman" w:hAnsi="Times New Roman" w:eastAsia="宋体" w:cs="Times New Roman"/>
                      <w:kern w:val="2"/>
                      <w:sz w:val="21"/>
                      <w:szCs w:val="21"/>
                      <w:lang w:val="en-US" w:eastAsia="zh-CN"/>
                    </w:rPr>
                    <w:t>4</w:t>
                  </w:r>
                  <w:r>
                    <w:rPr>
                      <w:rFonts w:hint="default" w:ascii="Times New Roman" w:hAnsi="Times New Roman" w:eastAsia="宋体" w:cs="Times New Roman"/>
                      <w:kern w:val="2"/>
                      <w:sz w:val="21"/>
                      <w:szCs w:val="21"/>
                    </w:rPr>
                    <w:t>月</w:t>
                  </w:r>
                  <w:r>
                    <w:rPr>
                      <w:rFonts w:hint="default" w:ascii="Times New Roman" w:hAnsi="Times New Roman" w:eastAsia="宋体" w:cs="Times New Roman"/>
                      <w:kern w:val="2"/>
                      <w:sz w:val="21"/>
                      <w:szCs w:val="21"/>
                      <w:lang w:val="en-US" w:eastAsia="zh-CN"/>
                    </w:rPr>
                    <w:t>20</w:t>
                  </w:r>
                  <w:r>
                    <w:rPr>
                      <w:rFonts w:hint="default" w:ascii="Times New Roman" w:hAnsi="Times New Roman" w:eastAsia="宋体" w:cs="Times New Roman"/>
                      <w:kern w:val="2"/>
                      <w:sz w:val="21"/>
                      <w:szCs w:val="21"/>
                    </w:rPr>
                    <w:t>日</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DA001废气</w:t>
                  </w:r>
                  <w:r>
                    <w:rPr>
                      <w:rFonts w:hint="default" w:ascii="Times New Roman" w:hAnsi="Times New Roman" w:eastAsia="宋体" w:cs="Times New Roman"/>
                      <w:kern w:val="2"/>
                      <w:sz w:val="21"/>
                      <w:szCs w:val="21"/>
                      <w:lang w:val="en-US" w:eastAsia="zh-CN"/>
                    </w:rPr>
                    <w:t>出口监测结果中颗粒物</w:t>
                  </w:r>
                  <w:r>
                    <w:rPr>
                      <w:rFonts w:hint="eastAsia" w:cs="Times New Roman"/>
                      <w:kern w:val="2"/>
                      <w:sz w:val="21"/>
                      <w:szCs w:val="21"/>
                      <w:lang w:val="en-US" w:eastAsia="zh-CN"/>
                    </w:rPr>
                    <w:t>浓度</w:t>
                  </w:r>
                  <w:r>
                    <w:rPr>
                      <w:rFonts w:hint="default" w:ascii="Times New Roman" w:hAnsi="Times New Roman" w:eastAsia="宋体" w:cs="Times New Roman"/>
                      <w:kern w:val="2"/>
                      <w:sz w:val="21"/>
                      <w:szCs w:val="21"/>
                      <w:lang w:eastAsia="zh-CN"/>
                    </w:rPr>
                    <w:t>、非甲烷总烃</w:t>
                  </w:r>
                  <w:r>
                    <w:rPr>
                      <w:rFonts w:hint="eastAsia" w:cs="Times New Roman"/>
                      <w:kern w:val="2"/>
                      <w:sz w:val="21"/>
                      <w:szCs w:val="21"/>
                      <w:lang w:eastAsia="zh-CN"/>
                    </w:rPr>
                    <w:t>浓度</w:t>
                  </w:r>
                  <w:r>
                    <w:rPr>
                      <w:rFonts w:hint="default" w:ascii="Times New Roman" w:hAnsi="Times New Roman" w:eastAsia="宋体" w:cs="Times New Roman"/>
                      <w:kern w:val="2"/>
                      <w:sz w:val="21"/>
                      <w:szCs w:val="21"/>
                      <w:lang w:eastAsia="zh-CN"/>
                    </w:rPr>
                    <w:t>、锡排放浓度及排放速率均</w:t>
                  </w:r>
                  <w:r>
                    <w:rPr>
                      <w:rFonts w:hint="default" w:ascii="Times New Roman" w:hAnsi="Times New Roman" w:eastAsia="宋体" w:cs="Times New Roman"/>
                      <w:kern w:val="2"/>
                      <w:sz w:val="21"/>
                      <w:szCs w:val="21"/>
                      <w:lang w:val="en-US" w:eastAsia="zh-CN"/>
                    </w:rPr>
                    <w:t>符合限值要求</w:t>
                  </w:r>
                  <w:r>
                    <w:rPr>
                      <w:rFonts w:hint="default" w:ascii="Times New Roman" w:hAnsi="Times New Roman" w:eastAsia="宋体" w:cs="Times New Roman"/>
                      <w:kern w:val="0"/>
                      <w:sz w:val="21"/>
                      <w:szCs w:val="21"/>
                      <w:lang w:val="en-US" w:eastAsia="zh-CN"/>
                    </w:rPr>
                    <w:t>。</w:t>
                  </w:r>
                </w:p>
              </w:tc>
            </w:tr>
          </w:tbl>
          <w:p>
            <w:pPr>
              <w:pStyle w:val="113"/>
            </w:pPr>
          </w:p>
          <w:p>
            <w:pPr>
              <w:pStyle w:val="113"/>
            </w:pPr>
          </w:p>
          <w:tbl>
            <w:tblPr>
              <w:tblStyle w:val="114"/>
              <w:tblW w:w="5000" w:type="pct"/>
              <w:tblInd w:w="0" w:type="dxa"/>
              <w:tblLayout w:type="autofit"/>
              <w:tblCellMar>
                <w:top w:w="0" w:type="dxa"/>
                <w:left w:w="0" w:type="dxa"/>
                <w:bottom w:w="0" w:type="dxa"/>
                <w:right w:w="0" w:type="dxa"/>
              </w:tblCellMar>
            </w:tblPr>
            <w:tblGrid>
              <w:gridCol w:w="4323"/>
              <w:gridCol w:w="4323"/>
            </w:tblGrid>
            <w:tr>
              <w:tblPrEx>
                <w:tblCellMar>
                  <w:top w:w="0" w:type="dxa"/>
                  <w:left w:w="0" w:type="dxa"/>
                  <w:bottom w:w="0" w:type="dxa"/>
                  <w:right w:w="0" w:type="dxa"/>
                </w:tblCellMar>
              </w:tblPrEx>
              <w:tc>
                <w:tcPr>
                  <w:tcW w:w="250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检测点位：DA001(进口,出口)</w:t>
                  </w:r>
                </w:p>
              </w:tc>
              <w:tc>
                <w:tcPr>
                  <w:tcW w:w="25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采样日期：2023年04月21日</w:t>
                  </w:r>
                </w:p>
              </w:tc>
            </w:tr>
            <w:tr>
              <w:tblPrEx>
                <w:tblCellMar>
                  <w:top w:w="0" w:type="dxa"/>
                  <w:left w:w="0" w:type="dxa"/>
                  <w:bottom w:w="0" w:type="dxa"/>
                  <w:right w:w="0" w:type="dxa"/>
                </w:tblCellMar>
              </w:tblPrEx>
              <w:tc>
                <w:tcPr>
                  <w:tcW w:w="250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排气筒高度 (米)：20</w:t>
                  </w:r>
                </w:p>
              </w:tc>
              <w:tc>
                <w:tcPr>
                  <w:tcW w:w="250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净化装置名称：布袋除尘+两级活性炭</w:t>
                  </w:r>
                </w:p>
              </w:tc>
            </w:tr>
            <w:tr>
              <w:tblPrEx>
                <w:tblCellMar>
                  <w:top w:w="0" w:type="dxa"/>
                  <w:left w:w="0" w:type="dxa"/>
                  <w:bottom w:w="0" w:type="dxa"/>
                  <w:right w:w="0" w:type="dxa"/>
                </w:tblCellMar>
              </w:tblPrEx>
              <w:tc>
                <w:tcPr>
                  <w:tcW w:w="250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管道截面积(m²)：0.071 </w:t>
                  </w:r>
                </w:p>
              </w:tc>
              <w:tc>
                <w:tcPr>
                  <w:tcW w:w="2500"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测试工况负荷（%）：90</w:t>
                  </w:r>
                </w:p>
              </w:tc>
            </w:tr>
            <w:tr>
              <w:tblPrEx>
                <w:tblCellMar>
                  <w:top w:w="0" w:type="dxa"/>
                  <w:left w:w="0" w:type="dxa"/>
                  <w:bottom w:w="0" w:type="dxa"/>
                  <w:right w:w="0" w:type="dxa"/>
                </w:tblCellMar>
              </w:tblPrEx>
              <w:tc>
                <w:tcPr>
                  <w:tcW w:w="5000" w:type="pct"/>
                  <w:gridSpan w:val="2"/>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生产设备及型号： 抛光、焊接、破碎、焊接有机废气、密封、老化及注塑工序</w:t>
                  </w:r>
                </w:p>
              </w:tc>
            </w:tr>
          </w:tbl>
          <w:p>
            <w:pPr>
              <w:pStyle w:val="113"/>
            </w:pPr>
          </w:p>
          <w:tbl>
            <w:tblPr>
              <w:tblStyle w:val="114"/>
              <w:tblW w:w="8632" w:type="dxa"/>
              <w:tblInd w:w="0" w:type="dxa"/>
              <w:tblLayout w:type="autofit"/>
              <w:tblCellMar>
                <w:top w:w="0" w:type="dxa"/>
                <w:left w:w="0" w:type="dxa"/>
                <w:bottom w:w="0" w:type="dxa"/>
                <w:right w:w="0" w:type="dxa"/>
              </w:tblCellMar>
            </w:tblPr>
            <w:tblGrid>
              <w:gridCol w:w="637"/>
              <w:gridCol w:w="1706"/>
              <w:gridCol w:w="886"/>
              <w:gridCol w:w="899"/>
              <w:gridCol w:w="899"/>
              <w:gridCol w:w="899"/>
              <w:gridCol w:w="899"/>
              <w:gridCol w:w="900"/>
              <w:gridCol w:w="907"/>
            </w:tblGrid>
            <w:tr>
              <w:tc>
                <w:tcPr>
                  <w:tcW w:w="369"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序号</w:t>
                  </w:r>
                </w:p>
              </w:tc>
              <w:tc>
                <w:tcPr>
                  <w:tcW w:w="988"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项目名称</w:t>
                  </w:r>
                </w:p>
              </w:tc>
              <w:tc>
                <w:tcPr>
                  <w:tcW w:w="513" w:type="pct"/>
                  <w:vMerge w:val="restar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单位</w:t>
                  </w:r>
                </w:p>
              </w:tc>
              <w:tc>
                <w:tcPr>
                  <w:tcW w:w="3128"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检测结果</w:t>
                  </w:r>
                </w:p>
              </w:tc>
            </w:tr>
            <w:tr>
              <w:tblPrEx>
                <w:tblCellMar>
                  <w:top w:w="0" w:type="dxa"/>
                  <w:left w:w="0" w:type="dxa"/>
                  <w:bottom w:w="0" w:type="dxa"/>
                  <w:right w:w="0" w:type="dxa"/>
                </w:tblCellMar>
              </w:tblPrEx>
              <w:tc>
                <w:tcPr>
                  <w:tcW w:w="369" w:type="pct"/>
                  <w:vMerge w:val="continue"/>
                  <w:tcBorders>
                    <w:top w:val="single" w:color="000000" w:sz="8" w:space="0"/>
                    <w:left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988" w:type="pct"/>
                  <w:vMerge w:val="continue"/>
                  <w:tcBorders>
                    <w:top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513" w:type="pct"/>
                  <w:vMerge w:val="continue"/>
                  <w:tcBorders>
                    <w:top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进口</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出口</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测点废气温度</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24</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25</w:t>
                  </w:r>
                </w:p>
              </w:tc>
            </w:tr>
            <w:tr>
              <w:tblPrEx>
                <w:tblCellMar>
                  <w:top w:w="0" w:type="dxa"/>
                  <w:left w:w="0" w:type="dxa"/>
                  <w:bottom w:w="0" w:type="dxa"/>
                  <w:right w:w="0" w:type="dxa"/>
                </w:tblCellMar>
              </w:tblPrEx>
              <w:trPr>
                <w:trHeight w:val="395" w:hRule="atLeast"/>
              </w:trPr>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废气含湿率</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2.4</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2.1</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测点废气流速</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m/s</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16.4</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17.2</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实测流量</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4.19×10</w:t>
                  </w:r>
                  <w:r>
                    <w:rPr>
                      <w:rFonts w:hint="default" w:ascii="Times New Roman" w:hAnsi="Times New Roman" w:eastAsia="宋体" w:cs="Times New Roman"/>
                      <w:kern w:val="2"/>
                      <w:sz w:val="21"/>
                      <w:szCs w:val="21"/>
                      <w:vertAlign w:val="superscript"/>
                    </w:rPr>
                    <w:t>3</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4.39×10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标干流量</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Nm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rPr>
                    <w:t>/h</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3.88×10</w:t>
                  </w:r>
                  <w:r>
                    <w:rPr>
                      <w:rFonts w:hint="default" w:ascii="Times New Roman" w:hAnsi="Times New Roman" w:eastAsia="宋体" w:cs="Times New Roman"/>
                      <w:kern w:val="2"/>
                      <w:sz w:val="21"/>
                      <w:szCs w:val="21"/>
                      <w:vertAlign w:val="superscript"/>
                    </w:rPr>
                    <w:t>3</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3.89×10</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颗粒物浓度 </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22</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24</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22</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2.7</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2.6</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颗粒物排放浓度</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bidi="ar-SA"/>
                    </w:rPr>
                  </w:pPr>
                  <w:r>
                    <w:rPr>
                      <w:rFonts w:hint="default" w:ascii="Times New Roman" w:hAnsi="Times New Roman" w:eastAsia="宋体" w:cs="Times New Roman"/>
                      <w:kern w:val="2"/>
                      <w:sz w:val="21"/>
                      <w:szCs w:val="21"/>
                    </w:rPr>
                    <w:t>23</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2.5</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8</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颗粒物排放速率</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bidi="ar-SA"/>
                    </w:rPr>
                  </w:pPr>
                  <w:r>
                    <w:rPr>
                      <w:rFonts w:hint="default" w:ascii="Times New Roman" w:hAnsi="Times New Roman" w:eastAsia="宋体" w:cs="Times New Roman"/>
                      <w:kern w:val="2"/>
                      <w:sz w:val="21"/>
                      <w:szCs w:val="21"/>
                    </w:rPr>
                    <w:t>0.089</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7×10</w:t>
                  </w:r>
                  <w:r>
                    <w:rPr>
                      <w:rFonts w:hint="default" w:ascii="Times New Roman" w:hAnsi="Times New Roman" w:eastAsia="宋体" w:cs="Times New Roman"/>
                      <w:kern w:val="2"/>
                      <w:sz w:val="21"/>
                      <w:szCs w:val="21"/>
                      <w:vertAlign w:val="superscript"/>
                      <w:lang w:val="en-US" w:eastAsia="zh-CN"/>
                    </w:rPr>
                    <w:t>-</w:t>
                  </w:r>
                  <w:r>
                    <w:rPr>
                      <w:rFonts w:hint="default" w:ascii="Times New Roman" w:hAnsi="Times New Roman" w:eastAsia="宋体" w:cs="Times New Roman"/>
                      <w:kern w:val="2"/>
                      <w:sz w:val="21"/>
                      <w:szCs w:val="21"/>
                      <w:vertAlign w:val="superscript"/>
                    </w:rPr>
                    <w:t>3</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9</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3128"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89.1</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10</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锡浓度 </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eastAsia" w:cs="Times New Roman"/>
                      <w:kern w:val="2"/>
                      <w:sz w:val="21"/>
                      <w:szCs w:val="21"/>
                      <w:lang w:val="en-US" w:eastAsia="zh-CN"/>
                    </w:rPr>
                    <w:t>m</w:t>
                  </w:r>
                  <w:r>
                    <w:rPr>
                      <w:rFonts w:hint="default" w:ascii="Times New Roman" w:hAnsi="Times New Roman" w:eastAsia="宋体" w:cs="Times New Roman"/>
                      <w:kern w:val="2"/>
                      <w:sz w:val="21"/>
                      <w:szCs w:val="21"/>
                    </w:rPr>
                    <w:t>g/m</w:t>
                  </w:r>
                  <w:r>
                    <w:rPr>
                      <w:rFonts w:hint="default" w:ascii="Times New Roman" w:hAnsi="Times New Roman" w:eastAsia="宋体" w:cs="Times New Roman"/>
                      <w:kern w:val="2"/>
                      <w:sz w:val="21"/>
                      <w:szCs w:val="21"/>
                      <w:vertAlign w:val="superscript"/>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11</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锡排放浓度</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eastAsia" w:cs="Times New Roman"/>
                      <w:kern w:val="2"/>
                      <w:sz w:val="21"/>
                      <w:szCs w:val="21"/>
                      <w:lang w:val="en-US" w:eastAsia="zh-CN"/>
                    </w:rPr>
                    <w:t>m</w:t>
                  </w:r>
                  <w:r>
                    <w:rPr>
                      <w:rFonts w:hint="default" w:ascii="Times New Roman" w:hAnsi="Times New Roman" w:eastAsia="宋体" w:cs="Times New Roman"/>
                      <w:kern w:val="2"/>
                      <w:sz w:val="21"/>
                      <w:szCs w:val="21"/>
                    </w:rPr>
                    <w:t>g/m</w:t>
                  </w:r>
                  <w:r>
                    <w:rPr>
                      <w:rFonts w:hint="default" w:ascii="Times New Roman" w:hAnsi="Times New Roman" w:eastAsia="宋体" w:cs="Times New Roman"/>
                      <w:kern w:val="2"/>
                      <w:sz w:val="21"/>
                      <w:szCs w:val="21"/>
                      <w:vertAlign w:val="superscript"/>
                    </w:rPr>
                    <w:t>3</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&lt;2×10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12</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锡排放速率</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8</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-6</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8</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-6</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13</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 xml:space="preserve">非甲烷总烃浓度 </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24.6</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24.3</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29.4</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1.97</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1.78</w:t>
                  </w:r>
                </w:p>
              </w:tc>
              <w:tc>
                <w:tcPr>
                  <w:tcW w:w="52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1.76</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14</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非甲烷总烃排放浓度</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26.1</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1.84</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15</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非甲烷总烃排放速率</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kg/h</w:t>
                  </w:r>
                </w:p>
              </w:tc>
              <w:tc>
                <w:tcPr>
                  <w:tcW w:w="1563"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0.101</w:t>
                  </w:r>
                </w:p>
              </w:tc>
              <w:tc>
                <w:tcPr>
                  <w:tcW w:w="1564" w:type="pct"/>
                  <w:gridSpan w:val="3"/>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7.16</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3</w:t>
                  </w:r>
                </w:p>
              </w:tc>
            </w:tr>
            <w:tr>
              <w:tblPrEx>
                <w:tblCellMar>
                  <w:top w:w="0" w:type="dxa"/>
                  <w:left w:w="0" w:type="dxa"/>
                  <w:bottom w:w="0" w:type="dxa"/>
                  <w:right w:w="0" w:type="dxa"/>
                </w:tblCellMar>
              </w:tblPrEx>
              <w:tc>
                <w:tcPr>
                  <w:tcW w:w="369"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16</w:t>
                  </w:r>
                </w:p>
              </w:tc>
              <w:tc>
                <w:tcPr>
                  <w:tcW w:w="98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去除率</w:t>
                  </w:r>
                </w:p>
              </w:tc>
              <w:tc>
                <w:tcPr>
                  <w:tcW w:w="51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3128" w:type="pct"/>
                  <w:gridSpan w:val="6"/>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eastAsia" w:cs="Times New Roman"/>
                      <w:kern w:val="2"/>
                      <w:sz w:val="21"/>
                      <w:szCs w:val="21"/>
                      <w:lang w:val="en-US" w:eastAsia="zh-CN"/>
                    </w:rPr>
                    <w:t>92.9</w:t>
                  </w:r>
                </w:p>
              </w:tc>
            </w:tr>
            <w:tr>
              <w:tblPrEx>
                <w:tblCellMar>
                  <w:top w:w="0" w:type="dxa"/>
                  <w:left w:w="0" w:type="dxa"/>
                  <w:bottom w:w="0" w:type="dxa"/>
                  <w:right w:w="0" w:type="dxa"/>
                </w:tblCellMar>
              </w:tblPrEx>
              <w:tc>
                <w:tcPr>
                  <w:tcW w:w="5000" w:type="pct"/>
                  <w:gridSpan w:val="9"/>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3"/>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注</w:t>
                  </w:r>
                  <w:r>
                    <w:rPr>
                      <w:rFonts w:hint="eastAsia" w:cs="Times New Roman"/>
                      <w:kern w:val="2"/>
                      <w:sz w:val="21"/>
                      <w:szCs w:val="21"/>
                      <w:lang w:eastAsia="zh-CN"/>
                    </w:rPr>
                    <w:t>：</w:t>
                  </w:r>
                  <w:r>
                    <w:rPr>
                      <w:rFonts w:hint="default" w:ascii="Times New Roman" w:hAnsi="Times New Roman" w:eastAsia="宋体" w:cs="Times New Roman"/>
                      <w:kern w:val="2"/>
                      <w:sz w:val="21"/>
                      <w:szCs w:val="21"/>
                    </w:rPr>
                    <w:t>*号的为现场测试参数</w:t>
                  </w:r>
                  <w:r>
                    <w:rPr>
                      <w:rFonts w:hint="default" w:ascii="Times New Roman" w:hAnsi="Times New Roman" w:eastAsia="宋体" w:cs="Times New Roman"/>
                      <w:kern w:val="2"/>
                      <w:sz w:val="21"/>
                      <w:szCs w:val="21"/>
                      <w:lang w:eastAsia="zh-CN"/>
                    </w:rPr>
                    <w:t>；结论：</w:t>
                  </w:r>
                  <w:r>
                    <w:rPr>
                      <w:rFonts w:hint="default" w:ascii="Times New Roman" w:hAnsi="Times New Roman" w:eastAsia="宋体" w:cs="Times New Roman"/>
                      <w:kern w:val="2"/>
                      <w:sz w:val="21"/>
                      <w:szCs w:val="21"/>
                    </w:rPr>
                    <w:t>2023年0</w:t>
                  </w:r>
                  <w:r>
                    <w:rPr>
                      <w:rFonts w:hint="default" w:ascii="Times New Roman" w:hAnsi="Times New Roman" w:eastAsia="宋体" w:cs="Times New Roman"/>
                      <w:kern w:val="2"/>
                      <w:sz w:val="21"/>
                      <w:szCs w:val="21"/>
                      <w:lang w:val="en-US" w:eastAsia="zh-CN"/>
                    </w:rPr>
                    <w:t>4</w:t>
                  </w:r>
                  <w:r>
                    <w:rPr>
                      <w:rFonts w:hint="default" w:ascii="Times New Roman" w:hAnsi="Times New Roman" w:eastAsia="宋体" w:cs="Times New Roman"/>
                      <w:kern w:val="2"/>
                      <w:sz w:val="21"/>
                      <w:szCs w:val="21"/>
                    </w:rPr>
                    <w:t>月</w:t>
                  </w:r>
                  <w:r>
                    <w:rPr>
                      <w:rFonts w:hint="default" w:ascii="Times New Roman" w:hAnsi="Times New Roman" w:eastAsia="宋体" w:cs="Times New Roman"/>
                      <w:kern w:val="2"/>
                      <w:sz w:val="21"/>
                      <w:szCs w:val="21"/>
                      <w:lang w:val="en-US" w:eastAsia="zh-CN"/>
                    </w:rPr>
                    <w:t>21</w:t>
                  </w:r>
                  <w:r>
                    <w:rPr>
                      <w:rFonts w:hint="default" w:ascii="Times New Roman" w:hAnsi="Times New Roman" w:eastAsia="宋体" w:cs="Times New Roman"/>
                      <w:kern w:val="2"/>
                      <w:sz w:val="21"/>
                      <w:szCs w:val="21"/>
                    </w:rPr>
                    <w:t>日</w:t>
                  </w:r>
                  <w:r>
                    <w:rPr>
                      <w:rFonts w:hint="default" w:ascii="Times New Roman" w:hAnsi="Times New Roman" w:eastAsia="宋体" w:cs="Times New Roman"/>
                      <w:kern w:val="2"/>
                      <w:sz w:val="21"/>
                      <w:szCs w:val="21"/>
                      <w:lang w:val="en-US" w:eastAsia="zh-CN"/>
                    </w:rPr>
                    <w:t>，</w:t>
                  </w:r>
                  <w:r>
                    <w:rPr>
                      <w:rFonts w:hint="default" w:ascii="Times New Roman" w:hAnsi="Times New Roman" w:eastAsia="宋体" w:cs="Times New Roman"/>
                      <w:kern w:val="2"/>
                      <w:sz w:val="21"/>
                      <w:szCs w:val="21"/>
                    </w:rPr>
                    <w:t>DA001废气</w:t>
                  </w:r>
                  <w:r>
                    <w:rPr>
                      <w:rFonts w:hint="default" w:ascii="Times New Roman" w:hAnsi="Times New Roman" w:eastAsia="宋体" w:cs="Times New Roman"/>
                      <w:kern w:val="2"/>
                      <w:sz w:val="21"/>
                      <w:szCs w:val="21"/>
                      <w:lang w:val="en-US" w:eastAsia="zh-CN"/>
                    </w:rPr>
                    <w:t>出口监测结果中颗粒物</w:t>
                  </w:r>
                  <w:r>
                    <w:rPr>
                      <w:rFonts w:hint="eastAsia" w:cs="Times New Roman"/>
                      <w:kern w:val="2"/>
                      <w:sz w:val="21"/>
                      <w:szCs w:val="21"/>
                      <w:lang w:val="en-US" w:eastAsia="zh-CN"/>
                    </w:rPr>
                    <w:t>浓度</w:t>
                  </w:r>
                  <w:r>
                    <w:rPr>
                      <w:rFonts w:hint="default" w:ascii="Times New Roman" w:hAnsi="Times New Roman" w:eastAsia="宋体" w:cs="Times New Roman"/>
                      <w:kern w:val="2"/>
                      <w:sz w:val="21"/>
                      <w:szCs w:val="21"/>
                      <w:lang w:eastAsia="zh-CN"/>
                    </w:rPr>
                    <w:t>、非甲烷总烃</w:t>
                  </w:r>
                  <w:r>
                    <w:rPr>
                      <w:rFonts w:hint="eastAsia" w:cs="Times New Roman"/>
                      <w:kern w:val="2"/>
                      <w:sz w:val="21"/>
                      <w:szCs w:val="21"/>
                      <w:lang w:eastAsia="zh-CN"/>
                    </w:rPr>
                    <w:t>浓度</w:t>
                  </w:r>
                  <w:r>
                    <w:rPr>
                      <w:rFonts w:hint="default" w:ascii="Times New Roman" w:hAnsi="Times New Roman" w:eastAsia="宋体" w:cs="Times New Roman"/>
                      <w:kern w:val="2"/>
                      <w:sz w:val="21"/>
                      <w:szCs w:val="21"/>
                      <w:lang w:eastAsia="zh-CN"/>
                    </w:rPr>
                    <w:t>、锡排放浓度及排放速率均</w:t>
                  </w:r>
                  <w:r>
                    <w:rPr>
                      <w:rFonts w:hint="default" w:ascii="Times New Roman" w:hAnsi="Times New Roman" w:eastAsia="宋体" w:cs="Times New Roman"/>
                      <w:kern w:val="2"/>
                      <w:sz w:val="21"/>
                      <w:szCs w:val="21"/>
                      <w:lang w:val="en-US" w:eastAsia="zh-CN"/>
                    </w:rPr>
                    <w:t>符合限值要求</w:t>
                  </w:r>
                  <w:r>
                    <w:rPr>
                      <w:rFonts w:hint="default" w:ascii="Times New Roman" w:hAnsi="Times New Roman" w:eastAsia="宋体" w:cs="Times New Roman"/>
                      <w:kern w:val="0"/>
                      <w:sz w:val="21"/>
                      <w:szCs w:val="21"/>
                      <w:lang w:val="en-US" w:eastAsia="zh-CN"/>
                    </w:rPr>
                    <w:t>。</w:t>
                  </w:r>
                </w:p>
              </w:tc>
            </w:tr>
          </w:tbl>
          <w:p>
            <w:pPr>
              <w:pStyle w:val="70"/>
              <w:numPr>
                <w:ilvl w:val="0"/>
                <w:numId w:val="0"/>
              </w:numPr>
              <w:tabs>
                <w:tab w:val="left" w:pos="2520"/>
              </w:tabs>
              <w:spacing w:before="0" w:line="360" w:lineRule="auto"/>
              <w:rPr>
                <w:rFonts w:hint="default" w:ascii="Times New Roman" w:hAnsi="Times New Roman"/>
                <w:b/>
                <w:bCs w:val="0"/>
                <w:szCs w:val="21"/>
                <w:lang w:val="en-US" w:eastAsia="zh-CN"/>
              </w:rPr>
            </w:pPr>
            <w:r>
              <w:rPr>
                <w:rFonts w:hint="eastAsia" w:ascii="Times New Roman" w:hAnsi="Times New Roman"/>
                <w:b/>
                <w:bCs w:val="0"/>
                <w:szCs w:val="21"/>
                <w:lang w:val="en-US" w:eastAsia="zh-CN"/>
              </w:rPr>
              <w:t>3、无组织废气</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kern w:val="0"/>
                <w:sz w:val="21"/>
                <w:szCs w:val="21"/>
              </w:rPr>
            </w:pPr>
            <w:r>
              <w:rPr>
                <w:b/>
                <w:sz w:val="21"/>
                <w:szCs w:val="21"/>
              </w:rPr>
              <w:t>表7-</w:t>
            </w:r>
            <w:r>
              <w:rPr>
                <w:rFonts w:hint="eastAsia"/>
                <w:b/>
                <w:sz w:val="21"/>
                <w:szCs w:val="21"/>
                <w:lang w:val="en-US" w:eastAsia="zh-CN"/>
              </w:rPr>
              <w:t>4</w:t>
            </w:r>
            <w:r>
              <w:rPr>
                <w:b/>
                <w:sz w:val="21"/>
                <w:szCs w:val="21"/>
              </w:rPr>
              <w:t xml:space="preserve"> </w:t>
            </w:r>
            <w:r>
              <w:rPr>
                <w:b/>
                <w:bCs/>
                <w:kern w:val="0"/>
                <w:sz w:val="21"/>
                <w:szCs w:val="21"/>
              </w:rPr>
              <w:t>采样期间气象参数</w:t>
            </w:r>
          </w:p>
          <w:tbl>
            <w:tblPr>
              <w:tblStyle w:val="121"/>
              <w:tblW w:w="4997" w:type="pct"/>
              <w:tblInd w:w="0" w:type="dxa"/>
              <w:tblLayout w:type="autofit"/>
              <w:tblCellMar>
                <w:top w:w="0" w:type="dxa"/>
                <w:left w:w="0" w:type="dxa"/>
                <w:bottom w:w="0" w:type="dxa"/>
                <w:right w:w="0" w:type="dxa"/>
              </w:tblCellMar>
            </w:tblPr>
            <w:tblGrid>
              <w:gridCol w:w="1475"/>
              <w:gridCol w:w="894"/>
              <w:gridCol w:w="894"/>
              <w:gridCol w:w="1160"/>
              <w:gridCol w:w="1088"/>
              <w:gridCol w:w="1160"/>
              <w:gridCol w:w="1076"/>
              <w:gridCol w:w="894"/>
            </w:tblGrid>
            <w:tr>
              <w:tblPrEx>
                <w:tblCellMar>
                  <w:top w:w="0" w:type="dxa"/>
                  <w:left w:w="0" w:type="dxa"/>
                  <w:bottom w:w="0" w:type="dxa"/>
                  <w:right w:w="0" w:type="dxa"/>
                </w:tblCellMar>
              </w:tblPrEx>
              <w:tc>
                <w:tcPr>
                  <w:tcW w:w="85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采样日期</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周期</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风向</w:t>
                  </w:r>
                </w:p>
              </w:tc>
              <w:tc>
                <w:tcPr>
                  <w:tcW w:w="6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风速</w:t>
                  </w:r>
                </w:p>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(m/s)</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气温</w:t>
                  </w:r>
                </w:p>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6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湿度</w:t>
                  </w:r>
                </w:p>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w:t>
                  </w:r>
                </w:p>
              </w:tc>
              <w:tc>
                <w:tcPr>
                  <w:tcW w:w="62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气压(kPa)</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天气</w:t>
                  </w:r>
                </w:p>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状况</w:t>
                  </w:r>
                </w:p>
              </w:tc>
            </w:tr>
            <w:tr>
              <w:tblPrEx>
                <w:tblCellMar>
                  <w:top w:w="0" w:type="dxa"/>
                  <w:left w:w="0" w:type="dxa"/>
                  <w:bottom w:w="0" w:type="dxa"/>
                  <w:right w:w="0" w:type="dxa"/>
                </w:tblCellMar>
              </w:tblPrEx>
              <w:tc>
                <w:tcPr>
                  <w:tcW w:w="85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2023.04.20</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东风</w:t>
                  </w:r>
                </w:p>
              </w:tc>
              <w:tc>
                <w:tcPr>
                  <w:tcW w:w="6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2.3-2.5</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22-24</w:t>
                  </w:r>
                </w:p>
              </w:tc>
              <w:tc>
                <w:tcPr>
                  <w:tcW w:w="6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51-53</w:t>
                  </w:r>
                </w:p>
              </w:tc>
              <w:tc>
                <w:tcPr>
                  <w:tcW w:w="62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100.9</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晴</w:t>
                  </w:r>
                </w:p>
              </w:tc>
            </w:tr>
            <w:tr>
              <w:tblPrEx>
                <w:tblCellMar>
                  <w:top w:w="0" w:type="dxa"/>
                  <w:left w:w="0" w:type="dxa"/>
                  <w:bottom w:w="0" w:type="dxa"/>
                  <w:right w:w="0" w:type="dxa"/>
                </w:tblCellMar>
              </w:tblPrEx>
              <w:tc>
                <w:tcPr>
                  <w:tcW w:w="853"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2023.04.21</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东风</w:t>
                  </w:r>
                </w:p>
              </w:tc>
              <w:tc>
                <w:tcPr>
                  <w:tcW w:w="6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2.4-2.6</w:t>
                  </w:r>
                </w:p>
              </w:tc>
              <w:tc>
                <w:tcPr>
                  <w:tcW w:w="62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23-24</w:t>
                  </w:r>
                </w:p>
              </w:tc>
              <w:tc>
                <w:tcPr>
                  <w:tcW w:w="671"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51-52</w:t>
                  </w:r>
                </w:p>
              </w:tc>
              <w:tc>
                <w:tcPr>
                  <w:tcW w:w="622"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100.8</w:t>
                  </w:r>
                </w:p>
              </w:tc>
              <w:tc>
                <w:tcPr>
                  <w:tcW w:w="517"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20"/>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晴</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eastAsia="宋体"/>
                <w:b/>
                <w:bCs/>
                <w:kern w:val="0"/>
                <w:sz w:val="21"/>
                <w:szCs w:val="21"/>
                <w:lang w:val="en-US" w:eastAsia="zh-CN"/>
              </w:rPr>
            </w:pPr>
            <w:r>
              <w:rPr>
                <w:b/>
                <w:sz w:val="21"/>
                <w:szCs w:val="21"/>
              </w:rPr>
              <w:t>表7-</w:t>
            </w:r>
            <w:r>
              <w:rPr>
                <w:rFonts w:hint="eastAsia"/>
                <w:b/>
                <w:sz w:val="21"/>
                <w:szCs w:val="21"/>
                <w:lang w:val="en-US" w:eastAsia="zh-CN"/>
              </w:rPr>
              <w:t>5</w:t>
            </w:r>
            <w:r>
              <w:rPr>
                <w:b/>
                <w:sz w:val="21"/>
                <w:szCs w:val="21"/>
              </w:rPr>
              <w:t xml:space="preserve"> </w:t>
            </w:r>
            <w:r>
              <w:rPr>
                <w:rFonts w:hint="eastAsia"/>
                <w:b/>
                <w:bCs/>
                <w:kern w:val="0"/>
                <w:sz w:val="21"/>
                <w:szCs w:val="21"/>
                <w:lang w:val="en-US" w:eastAsia="zh-CN"/>
              </w:rPr>
              <w:t>无组织废气监测结果</w:t>
            </w:r>
          </w:p>
          <w:tbl>
            <w:tblPr>
              <w:tblStyle w:val="114"/>
              <w:tblW w:w="8643" w:type="dxa"/>
              <w:tblInd w:w="0" w:type="dxa"/>
              <w:tblLayout w:type="autofit"/>
              <w:tblCellMar>
                <w:top w:w="0" w:type="dxa"/>
                <w:left w:w="0" w:type="dxa"/>
                <w:bottom w:w="0" w:type="dxa"/>
                <w:right w:w="0" w:type="dxa"/>
              </w:tblCellMar>
            </w:tblPr>
            <w:tblGrid>
              <w:gridCol w:w="466"/>
              <w:gridCol w:w="914"/>
              <w:gridCol w:w="897"/>
              <w:gridCol w:w="897"/>
              <w:gridCol w:w="897"/>
              <w:gridCol w:w="899"/>
              <w:gridCol w:w="898"/>
              <w:gridCol w:w="920"/>
              <w:gridCol w:w="898"/>
              <w:gridCol w:w="957"/>
            </w:tblGrid>
            <w:tr>
              <w:tblPrEx>
                <w:tblCellMar>
                  <w:top w:w="0" w:type="dxa"/>
                  <w:left w:w="0" w:type="dxa"/>
                  <w:bottom w:w="0" w:type="dxa"/>
                  <w:right w:w="0" w:type="dxa"/>
                </w:tblCellMar>
              </w:tblPrEx>
              <w:trPr>
                <w:trHeight w:val="23" w:hRule="atLeast"/>
              </w:trPr>
              <w:tc>
                <w:tcPr>
                  <w:tcW w:w="271" w:type="pct"/>
                  <w:vMerge w:val="restar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测点</w:t>
                  </w:r>
                </w:p>
              </w:tc>
              <w:tc>
                <w:tcPr>
                  <w:tcW w:w="530" w:type="pct"/>
                  <w:vMerge w:val="restart"/>
                  <w:tcBorders>
                    <w:top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检测项目</w:t>
                  </w:r>
                </w:p>
              </w:tc>
              <w:tc>
                <w:tcPr>
                  <w:tcW w:w="4198" w:type="pct"/>
                  <w:gridSpan w:val="8"/>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eastAsia" w:ascii="Times New Roman" w:hAnsi="Times New Roman" w:eastAsia="宋体" w:cs="Times New Roman"/>
                      <w:b/>
                      <w:bCs/>
                      <w:kern w:val="2"/>
                      <w:sz w:val="21"/>
                      <w:szCs w:val="21"/>
                      <w:lang w:eastAsia="zh-CN"/>
                    </w:rPr>
                  </w:pPr>
                  <w:r>
                    <w:rPr>
                      <w:rFonts w:hint="default" w:ascii="Times New Roman" w:hAnsi="Times New Roman" w:eastAsia="宋体" w:cs="Times New Roman"/>
                      <w:b/>
                      <w:bCs/>
                      <w:kern w:val="2"/>
                      <w:sz w:val="21"/>
                      <w:szCs w:val="21"/>
                    </w:rPr>
                    <w:t>检测结果</w:t>
                  </w:r>
                  <w:r>
                    <w:rPr>
                      <w:rFonts w:hint="eastAsia" w:ascii="Times New Roman" w:hAnsi="Times New Roman" w:eastAsia="宋体" w:cs="Times New Roman"/>
                      <w:b/>
                      <w:bCs/>
                      <w:kern w:val="2"/>
                      <w:sz w:val="21"/>
                      <w:szCs w:val="21"/>
                      <w:lang w:eastAsia="zh-CN"/>
                    </w:rPr>
                    <w:t>（</w:t>
                  </w:r>
                  <w:r>
                    <w:rPr>
                      <w:rFonts w:hint="default" w:ascii="Times New Roman" w:hAnsi="Times New Roman" w:eastAsia="宋体" w:cs="Times New Roman"/>
                      <w:b/>
                      <w:bCs/>
                      <w:kern w:val="2"/>
                      <w:sz w:val="21"/>
                      <w:szCs w:val="21"/>
                    </w:rPr>
                    <w:t>mg/m</w:t>
                  </w:r>
                  <w:r>
                    <w:rPr>
                      <w:rFonts w:hint="default" w:ascii="Times New Roman" w:hAnsi="Times New Roman" w:eastAsia="宋体" w:cs="Times New Roman"/>
                      <w:b/>
                      <w:bCs/>
                      <w:kern w:val="2"/>
                      <w:sz w:val="21"/>
                      <w:szCs w:val="21"/>
                      <w:vertAlign w:val="superscript"/>
                    </w:rPr>
                    <w:t>3</w:t>
                  </w:r>
                  <w:r>
                    <w:rPr>
                      <w:rFonts w:hint="eastAsia" w:ascii="Times New Roman" w:hAnsi="Times New Roman" w:eastAsia="宋体" w:cs="Times New Roman"/>
                      <w:b/>
                      <w:bCs/>
                      <w:kern w:val="2"/>
                      <w:sz w:val="21"/>
                      <w:szCs w:val="21"/>
                      <w:lang w:eastAsia="zh-CN"/>
                    </w:rPr>
                    <w:t>）</w:t>
                  </w:r>
                </w:p>
              </w:tc>
            </w:tr>
            <w:tr>
              <w:tblPrEx>
                <w:tblCellMar>
                  <w:top w:w="0" w:type="dxa"/>
                  <w:left w:w="0" w:type="dxa"/>
                  <w:bottom w:w="0" w:type="dxa"/>
                  <w:right w:w="0" w:type="dxa"/>
                </w:tblCellMar>
              </w:tblPrEx>
              <w:trPr>
                <w:trHeight w:val="23" w:hRule="atLeast"/>
              </w:trPr>
              <w:tc>
                <w:tcPr>
                  <w:tcW w:w="271" w:type="pct"/>
                  <w:vMerge w:val="continue"/>
                  <w:tcBorders>
                    <w:top w:val="single" w:color="000000" w:sz="8" w:space="0"/>
                    <w:left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530" w:type="pct"/>
                  <w:vMerge w:val="continue"/>
                  <w:tcBorders>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2075" w:type="pct"/>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2023年04月20日</w:t>
                  </w:r>
                </w:p>
              </w:tc>
              <w:tc>
                <w:tcPr>
                  <w:tcW w:w="2122" w:type="pct"/>
                  <w:gridSpan w:val="4"/>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2023年04月21日</w:t>
                  </w:r>
                </w:p>
              </w:tc>
            </w:tr>
            <w:tr>
              <w:tblPrEx>
                <w:tblCellMar>
                  <w:top w:w="0" w:type="dxa"/>
                  <w:left w:w="0" w:type="dxa"/>
                  <w:bottom w:w="0" w:type="dxa"/>
                  <w:right w:w="0" w:type="dxa"/>
                </w:tblCellMar>
              </w:tblPrEx>
              <w:trPr>
                <w:trHeight w:val="23" w:hRule="atLeast"/>
              </w:trPr>
              <w:tc>
                <w:tcPr>
                  <w:tcW w:w="271" w:type="pct"/>
                  <w:vMerge w:val="continue"/>
                  <w:tcBorders>
                    <w:top w:val="single" w:color="000000" w:sz="8" w:space="0"/>
                    <w:left w:val="single" w:color="000000" w:sz="8" w:space="0"/>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530" w:type="pct"/>
                  <w:vMerge w:val="continue"/>
                  <w:tcBorders>
                    <w:bottom w:val="single" w:color="000000" w:sz="8" w:space="0"/>
                    <w:right w:val="single" w:color="000000" w:sz="8" w:space="0"/>
                  </w:tcBorders>
                  <w:noWrap w:val="0"/>
                  <w:vAlign w:val="center"/>
                </w:tcPr>
                <w:p>
                  <w:pPr>
                    <w:widowControl w:val="0"/>
                    <w:jc w:val="both"/>
                    <w:rPr>
                      <w:rFonts w:hint="default" w:ascii="Times New Roman" w:hAnsi="Times New Roman" w:eastAsia="宋体" w:cs="Times New Roman"/>
                      <w:b/>
                      <w:bCs/>
                      <w:kern w:val="2"/>
                      <w:sz w:val="21"/>
                      <w:szCs w:val="21"/>
                    </w:rPr>
                  </w:pP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第1次</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第2次</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第3次</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最大值</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第1次</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第2次</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第3次</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最大值</w:t>
                  </w:r>
                </w:p>
              </w:tc>
            </w:tr>
            <w:tr>
              <w:tblPrEx>
                <w:tblCellMar>
                  <w:top w:w="0" w:type="dxa"/>
                  <w:left w:w="0" w:type="dxa"/>
                  <w:bottom w:w="0" w:type="dxa"/>
                  <w:right w:w="0" w:type="dxa"/>
                </w:tblCellMar>
              </w:tblPrEx>
              <w:trPr>
                <w:trHeight w:val="23" w:hRule="atLeast"/>
              </w:trPr>
              <w:tc>
                <w:tcPr>
                  <w:tcW w:w="271" w:type="pct"/>
                  <w:vMerge w:val="restart"/>
                  <w:tcBorders>
                    <w:top w:val="single" w:color="000000" w:sz="8" w:space="0"/>
                    <w:left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上风向</w:t>
                  </w:r>
                  <w:r>
                    <w:rPr>
                      <w:rFonts w:hint="default" w:ascii="Times New Roman" w:hAnsi="Times New Roman" w:eastAsia="宋体" w:cs="Times New Roman"/>
                      <w:kern w:val="2"/>
                      <w:sz w:val="21"/>
                      <w:szCs w:val="21"/>
                    </w:rPr>
                    <w:t>1#</w:t>
                  </w:r>
                </w:p>
              </w:tc>
              <w:tc>
                <w:tcPr>
                  <w:tcW w:w="53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总悬浮颗粒物</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0.203</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0.208</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0.211</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0.208</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0.213</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0.213</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000000" w:sz="8" w:space="0"/>
                    <w:bottom w:val="single" w:color="auto" w:sz="4"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0.79</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0.70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0.71</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0.79</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0.82</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0.72</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1.14</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1.14</w:t>
                  </w:r>
                </w:p>
              </w:tc>
            </w:tr>
            <w:tr>
              <w:tblPrEx>
                <w:tblCellMar>
                  <w:top w:w="0" w:type="dxa"/>
                  <w:left w:w="0" w:type="dxa"/>
                  <w:bottom w:w="0" w:type="dxa"/>
                  <w:right w:w="0" w:type="dxa"/>
                </w:tblCellMar>
              </w:tblPrEx>
              <w:trPr>
                <w:trHeight w:val="23" w:hRule="atLeast"/>
              </w:trPr>
              <w:tc>
                <w:tcPr>
                  <w:tcW w:w="271" w:type="pct"/>
                  <w:vMerge w:val="restart"/>
                  <w:tcBorders>
                    <w:top w:val="single" w:color="000000" w:sz="8" w:space="0"/>
                    <w:left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下风向</w:t>
                  </w:r>
                  <w:r>
                    <w:rPr>
                      <w:rFonts w:hint="default" w:ascii="Times New Roman" w:hAnsi="Times New Roman" w:eastAsia="宋体" w:cs="Times New Roman"/>
                      <w:kern w:val="2"/>
                      <w:sz w:val="21"/>
                      <w:szCs w:val="21"/>
                      <w:lang w:val="en-US" w:eastAsia="zh-CN"/>
                    </w:rPr>
                    <w:t>2</w:t>
                  </w:r>
                  <w:r>
                    <w:rPr>
                      <w:rFonts w:hint="default" w:ascii="Times New Roman" w:hAnsi="Times New Roman" w:eastAsia="宋体" w:cs="Times New Roman"/>
                      <w:kern w:val="2"/>
                      <w:sz w:val="21"/>
                      <w:szCs w:val="21"/>
                    </w:rPr>
                    <w:t>#</w:t>
                  </w: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总悬浮颗粒物</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0.222</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0.233</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0.222</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0.222</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0.228</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0.228</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bottom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1.08</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1.11</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1.07</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1.11</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1.16</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1.16</w:t>
                  </w:r>
                </w:p>
              </w:tc>
            </w:tr>
            <w:tr>
              <w:tblPrEx>
                <w:tblCellMar>
                  <w:top w:w="0" w:type="dxa"/>
                  <w:left w:w="0" w:type="dxa"/>
                  <w:bottom w:w="0" w:type="dxa"/>
                  <w:right w:w="0" w:type="dxa"/>
                </w:tblCellMar>
              </w:tblPrEx>
              <w:trPr>
                <w:trHeight w:val="23" w:hRule="atLeast"/>
              </w:trPr>
              <w:tc>
                <w:tcPr>
                  <w:tcW w:w="271" w:type="pct"/>
                  <w:vMerge w:val="restart"/>
                  <w:tcBorders>
                    <w:top w:val="single" w:color="000000" w:sz="8" w:space="0"/>
                    <w:left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下风向</w:t>
                  </w:r>
                  <w:r>
                    <w:rPr>
                      <w:rFonts w:hint="default" w:ascii="Times New Roman" w:hAnsi="Times New Roman" w:eastAsia="宋体" w:cs="Times New Roman"/>
                      <w:kern w:val="2"/>
                      <w:sz w:val="21"/>
                      <w:szCs w:val="21"/>
                      <w:lang w:val="en-US" w:eastAsia="zh-CN"/>
                    </w:rPr>
                    <w:t>3</w:t>
                  </w:r>
                  <w:r>
                    <w:rPr>
                      <w:rFonts w:hint="default" w:ascii="Times New Roman" w:hAnsi="Times New Roman" w:eastAsia="宋体" w:cs="Times New Roman"/>
                      <w:kern w:val="2"/>
                      <w:sz w:val="21"/>
                      <w:szCs w:val="21"/>
                    </w:rPr>
                    <w:t>#</w:t>
                  </w: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总悬浮颗粒物</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0.228</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0.238</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0.238</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0.231</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0.226</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0.230</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0.231</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bottom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1.03</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1.22</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1.10</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1.21</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1.22</w:t>
                  </w:r>
                </w:p>
              </w:tc>
            </w:tr>
            <w:tr>
              <w:tblPrEx>
                <w:tblCellMar>
                  <w:top w:w="0" w:type="dxa"/>
                  <w:left w:w="0" w:type="dxa"/>
                  <w:bottom w:w="0" w:type="dxa"/>
                  <w:right w:w="0" w:type="dxa"/>
                </w:tblCellMar>
              </w:tblPrEx>
              <w:trPr>
                <w:trHeight w:val="23" w:hRule="atLeast"/>
              </w:trPr>
              <w:tc>
                <w:tcPr>
                  <w:tcW w:w="271" w:type="pct"/>
                  <w:vMerge w:val="restart"/>
                  <w:tcBorders>
                    <w:top w:val="single" w:color="000000" w:sz="8" w:space="0"/>
                    <w:left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下风向</w:t>
                  </w:r>
                  <w:r>
                    <w:rPr>
                      <w:rFonts w:hint="default" w:ascii="Times New Roman" w:hAnsi="Times New Roman" w:eastAsia="宋体" w:cs="Times New Roman"/>
                      <w:kern w:val="2"/>
                      <w:sz w:val="21"/>
                      <w:szCs w:val="21"/>
                      <w:lang w:val="en-US" w:eastAsia="zh-CN"/>
                    </w:rPr>
                    <w:t>4</w:t>
                  </w:r>
                  <w:r>
                    <w:rPr>
                      <w:rFonts w:hint="default" w:ascii="Times New Roman" w:hAnsi="Times New Roman" w:eastAsia="宋体" w:cs="Times New Roman"/>
                      <w:kern w:val="2"/>
                      <w:sz w:val="21"/>
                      <w:szCs w:val="21"/>
                    </w:rPr>
                    <w:t>#</w:t>
                  </w: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总悬浮颗粒物</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0.222</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0.232</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0.232</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0.233</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0.224</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0.230</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0.233</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锡</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p>
              </w:tc>
            </w:tr>
            <w:tr>
              <w:tblPrEx>
                <w:tblCellMar>
                  <w:top w:w="0" w:type="dxa"/>
                  <w:left w:w="0" w:type="dxa"/>
                  <w:bottom w:w="0" w:type="dxa"/>
                  <w:right w:w="0" w:type="dxa"/>
                </w:tblCellMar>
              </w:tblPrEx>
              <w:trPr>
                <w:trHeight w:val="23" w:hRule="atLeast"/>
              </w:trPr>
              <w:tc>
                <w:tcPr>
                  <w:tcW w:w="271" w:type="pct"/>
                  <w:vMerge w:val="continue"/>
                  <w:tcBorders>
                    <w:left w:val="single" w:color="000000" w:sz="8" w:space="0"/>
                    <w:bottom w:val="single" w:color="000000" w:sz="8" w:space="0"/>
                    <w:right w:val="single" w:color="auto" w:sz="4"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p>
              </w:tc>
              <w:tc>
                <w:tcPr>
                  <w:tcW w:w="530" w:type="pct"/>
                  <w:tcBorders>
                    <w:top w:val="single" w:color="auto" w:sz="4" w:space="0"/>
                    <w:left w:val="single" w:color="auto" w:sz="4" w:space="0"/>
                    <w:bottom w:val="single" w:color="auto" w:sz="4" w:space="0"/>
                    <w:right w:val="single" w:color="auto" w:sz="4"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w:t>
                  </w:r>
                </w:p>
              </w:tc>
              <w:tc>
                <w:tcPr>
                  <w:tcW w:w="518" w:type="pct"/>
                  <w:tcBorders>
                    <w:top w:val="single" w:color="000000" w:sz="8" w:space="0"/>
                    <w:left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1.10</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1.16</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1.16</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0.95</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1.22</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1.22</w:t>
                  </w:r>
                </w:p>
              </w:tc>
            </w:tr>
            <w:tr>
              <w:tblPrEx>
                <w:tblCellMar>
                  <w:top w:w="0" w:type="dxa"/>
                  <w:left w:w="0" w:type="dxa"/>
                  <w:bottom w:w="0" w:type="dxa"/>
                  <w:right w:w="0" w:type="dxa"/>
                </w:tblCellMar>
              </w:tblPrEx>
              <w:trPr>
                <w:trHeight w:val="23" w:hRule="atLeast"/>
              </w:trPr>
              <w:tc>
                <w:tcPr>
                  <w:tcW w:w="271" w:type="pct"/>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车间外</w:t>
                  </w:r>
                  <w:r>
                    <w:rPr>
                      <w:rFonts w:hint="default" w:ascii="Times New Roman" w:hAnsi="Times New Roman" w:eastAsia="宋体" w:cs="Times New Roman"/>
                      <w:kern w:val="2"/>
                      <w:sz w:val="21"/>
                      <w:szCs w:val="21"/>
                      <w:lang w:val="en-US" w:eastAsia="zh-CN"/>
                    </w:rPr>
                    <w:t>5#</w:t>
                  </w:r>
                </w:p>
              </w:tc>
              <w:tc>
                <w:tcPr>
                  <w:tcW w:w="530" w:type="pct"/>
                  <w:tcBorders>
                    <w:top w:val="single" w:color="auto" w:sz="4"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非甲烷总烃</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2.31</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2.08</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1.94</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rPr>
                    <w:t>2.</w:t>
                  </w:r>
                  <w:r>
                    <w:rPr>
                      <w:rFonts w:hint="default" w:ascii="Times New Roman" w:hAnsi="Times New Roman" w:eastAsia="宋体" w:cs="Times New Roman"/>
                      <w:kern w:val="2"/>
                      <w:sz w:val="21"/>
                      <w:szCs w:val="21"/>
                      <w:lang w:val="en-US" w:eastAsia="zh-CN"/>
                    </w:rPr>
                    <w:t>1</w:t>
                  </w:r>
                  <w:r>
                    <w:rPr>
                      <w:rFonts w:hint="default" w:ascii="Times New Roman" w:hAnsi="Times New Roman" w:eastAsia="宋体" w:cs="Times New Roman"/>
                      <w:kern w:val="2"/>
                      <w:sz w:val="21"/>
                      <w:szCs w:val="21"/>
                    </w:rPr>
                    <w:t>1</w:t>
                  </w:r>
                  <w:r>
                    <w:rPr>
                      <w:rFonts w:hint="default" w:ascii="Times New Roman" w:hAnsi="Times New Roman" w:eastAsia="宋体" w:cs="Times New Roman"/>
                      <w:kern w:val="2"/>
                      <w:sz w:val="21"/>
                      <w:szCs w:val="21"/>
                      <w:lang w:eastAsia="zh-CN"/>
                    </w:rPr>
                    <w:t>（均值）</w:t>
                  </w:r>
                </w:p>
              </w:tc>
              <w:tc>
                <w:tcPr>
                  <w:tcW w:w="518"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2.23</w:t>
                  </w:r>
                </w:p>
              </w:tc>
              <w:tc>
                <w:tcPr>
                  <w:tcW w:w="533"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1.95</w:t>
                  </w:r>
                </w:p>
              </w:tc>
              <w:tc>
                <w:tcPr>
                  <w:tcW w:w="519"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2.11</w:t>
                  </w:r>
                </w:p>
              </w:tc>
              <w:tc>
                <w:tcPr>
                  <w:tcW w:w="550" w:type="pct"/>
                  <w:tcBorders>
                    <w:top w:val="single" w:color="000000" w:sz="8" w:space="0"/>
                    <w:bottom w:val="single" w:color="000000" w:sz="8" w:space="0"/>
                    <w:right w:val="single" w:color="000000" w:sz="8" w:space="0"/>
                  </w:tcBorders>
                  <w:noWrap w:val="0"/>
                  <w:tcMar>
                    <w:top w:w="67" w:type="dxa"/>
                    <w:left w:w="113"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rPr>
                    <w:t>2.</w:t>
                  </w:r>
                  <w:r>
                    <w:rPr>
                      <w:rFonts w:hint="default" w:ascii="Times New Roman" w:hAnsi="Times New Roman" w:eastAsia="宋体" w:cs="Times New Roman"/>
                      <w:kern w:val="2"/>
                      <w:sz w:val="21"/>
                      <w:szCs w:val="21"/>
                      <w:lang w:val="en-US" w:eastAsia="zh-CN"/>
                    </w:rPr>
                    <w:t>10</w:t>
                  </w:r>
                  <w:r>
                    <w:rPr>
                      <w:rFonts w:hint="default" w:ascii="Times New Roman" w:hAnsi="Times New Roman" w:eastAsia="宋体" w:cs="Times New Roman"/>
                      <w:kern w:val="2"/>
                      <w:sz w:val="21"/>
                      <w:szCs w:val="21"/>
                      <w:lang w:eastAsia="zh-CN"/>
                    </w:rPr>
                    <w:t>（均值）</w:t>
                  </w:r>
                </w:p>
              </w:tc>
            </w:tr>
            <w:tr>
              <w:tblPrEx>
                <w:tblCellMar>
                  <w:top w:w="0" w:type="dxa"/>
                  <w:left w:w="0" w:type="dxa"/>
                  <w:bottom w:w="0" w:type="dxa"/>
                  <w:right w:w="0" w:type="dxa"/>
                </w:tblCellMar>
              </w:tblPrEx>
              <w:trPr>
                <w:trHeight w:val="23" w:hRule="atLeast"/>
              </w:trPr>
              <w:tc>
                <w:tcPr>
                  <w:tcW w:w="5000" w:type="pct"/>
                  <w:gridSpan w:val="10"/>
                  <w:tcBorders>
                    <w:top w:val="single" w:color="000000" w:sz="8" w:space="0"/>
                    <w:left w:val="single" w:color="000000" w:sz="8" w:space="0"/>
                    <w:bottom w:val="single" w:color="000000" w:sz="8" w:space="0"/>
                    <w:right w:val="single" w:color="000000" w:sz="8" w:space="0"/>
                  </w:tcBorders>
                  <w:noWrap w:val="0"/>
                  <w:tcMar>
                    <w:top w:w="67" w:type="dxa"/>
                    <w:left w:w="118" w:type="dxa"/>
                    <w:bottom w:w="67" w:type="dxa"/>
                    <w:right w:w="118" w:type="dxa"/>
                  </w:tcMar>
                  <w:vAlign w:val="center"/>
                </w:tcPr>
                <w:p>
                  <w:pPr>
                    <w:pStyle w:val="115"/>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结论：</w:t>
                  </w:r>
                  <w:r>
                    <w:rPr>
                      <w:rFonts w:hint="default" w:ascii="Times New Roman" w:hAnsi="Times New Roman" w:eastAsia="宋体" w:cs="Times New Roman"/>
                      <w:b w:val="0"/>
                      <w:bCs w:val="0"/>
                      <w:kern w:val="2"/>
                      <w:sz w:val="21"/>
                      <w:szCs w:val="21"/>
                    </w:rPr>
                    <w:t>202</w:t>
                  </w:r>
                  <w:r>
                    <w:rPr>
                      <w:rFonts w:hint="default" w:ascii="Times New Roman" w:hAnsi="Times New Roman" w:eastAsia="宋体" w:cs="Times New Roman"/>
                      <w:b w:val="0"/>
                      <w:bCs w:val="0"/>
                      <w:kern w:val="2"/>
                      <w:sz w:val="21"/>
                      <w:szCs w:val="21"/>
                      <w:lang w:val="en-US" w:eastAsia="zh-CN"/>
                    </w:rPr>
                    <w:t>3</w:t>
                  </w:r>
                  <w:r>
                    <w:rPr>
                      <w:rFonts w:hint="default" w:ascii="Times New Roman" w:hAnsi="Times New Roman" w:eastAsia="宋体" w:cs="Times New Roman"/>
                      <w:b w:val="0"/>
                      <w:bCs w:val="0"/>
                      <w:kern w:val="2"/>
                      <w:sz w:val="21"/>
                      <w:szCs w:val="21"/>
                    </w:rPr>
                    <w:t>年</w:t>
                  </w:r>
                  <w:r>
                    <w:rPr>
                      <w:rFonts w:hint="default" w:ascii="Times New Roman" w:hAnsi="Times New Roman" w:eastAsia="宋体" w:cs="Times New Roman"/>
                      <w:b w:val="0"/>
                      <w:bCs w:val="0"/>
                      <w:kern w:val="2"/>
                      <w:sz w:val="21"/>
                      <w:szCs w:val="21"/>
                      <w:lang w:val="en-US" w:eastAsia="zh-CN"/>
                    </w:rPr>
                    <w:t>04</w:t>
                  </w:r>
                  <w:r>
                    <w:rPr>
                      <w:rFonts w:hint="default" w:ascii="Times New Roman" w:hAnsi="Times New Roman" w:eastAsia="宋体" w:cs="Times New Roman"/>
                      <w:b w:val="0"/>
                      <w:bCs w:val="0"/>
                      <w:kern w:val="2"/>
                      <w:sz w:val="21"/>
                      <w:szCs w:val="21"/>
                    </w:rPr>
                    <w:t>月</w:t>
                  </w:r>
                  <w:r>
                    <w:rPr>
                      <w:rFonts w:hint="default" w:ascii="Times New Roman" w:hAnsi="Times New Roman" w:eastAsia="宋体" w:cs="Times New Roman"/>
                      <w:b w:val="0"/>
                      <w:bCs w:val="0"/>
                      <w:kern w:val="2"/>
                      <w:sz w:val="21"/>
                      <w:szCs w:val="21"/>
                      <w:lang w:val="en-US" w:eastAsia="zh-CN"/>
                    </w:rPr>
                    <w:t>20</w:t>
                  </w:r>
                  <w:r>
                    <w:rPr>
                      <w:rFonts w:hint="default" w:ascii="Times New Roman" w:hAnsi="Times New Roman" w:eastAsia="宋体" w:cs="Times New Roman"/>
                      <w:b w:val="0"/>
                      <w:bCs w:val="0"/>
                      <w:kern w:val="2"/>
                      <w:sz w:val="21"/>
                      <w:szCs w:val="21"/>
                    </w:rPr>
                    <w:t>日</w:t>
                  </w:r>
                  <w:r>
                    <w:rPr>
                      <w:rFonts w:hint="default" w:ascii="Times New Roman" w:hAnsi="Times New Roman" w:eastAsia="宋体" w:cs="Times New Roman"/>
                      <w:color w:val="000000"/>
                      <w:kern w:val="2"/>
                      <w:sz w:val="21"/>
                      <w:szCs w:val="21"/>
                      <w:lang w:eastAsia="zh-CN"/>
                    </w:rPr>
                    <w:t>，厂界四个监测点位总悬浮颗粒物的最大值为</w:t>
                  </w:r>
                  <w:r>
                    <w:rPr>
                      <w:rFonts w:hint="default" w:ascii="Times New Roman" w:hAnsi="Times New Roman" w:eastAsia="宋体" w:cs="Times New Roman"/>
                      <w:color w:val="000000"/>
                      <w:kern w:val="2"/>
                      <w:sz w:val="21"/>
                      <w:szCs w:val="21"/>
                      <w:lang w:val="en-US" w:eastAsia="zh-CN"/>
                    </w:rPr>
                    <w:t>0.238</w:t>
                  </w: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vertAlign w:val="baseline"/>
                      <w:lang w:eastAsia="zh-CN"/>
                    </w:rPr>
                    <w:t>，</w:t>
                  </w:r>
                  <w:r>
                    <w:rPr>
                      <w:rFonts w:hint="default" w:ascii="Times New Roman" w:hAnsi="Times New Roman" w:eastAsia="宋体" w:cs="Times New Roman"/>
                      <w:color w:val="000000"/>
                      <w:kern w:val="2"/>
                      <w:sz w:val="21"/>
                      <w:szCs w:val="21"/>
                      <w:lang w:eastAsia="zh-CN"/>
                    </w:rPr>
                    <w:t>锡的最大值为</w:t>
                  </w: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r>
                    <w:rPr>
                      <w:rFonts w:hint="eastAsia" w:cs="Times New Roman"/>
                      <w:kern w:val="2"/>
                      <w:sz w:val="21"/>
                      <w:szCs w:val="21"/>
                      <w:lang w:val="en-US" w:eastAsia="zh-CN"/>
                    </w:rPr>
                    <w:t>m</w:t>
                  </w:r>
                  <w:r>
                    <w:rPr>
                      <w:rFonts w:hint="default" w:ascii="Times New Roman" w:hAnsi="Times New Roman" w:eastAsia="宋体" w:cs="Times New Roman"/>
                      <w:kern w:val="2"/>
                      <w:sz w:val="21"/>
                      <w:szCs w:val="21"/>
                    </w:rPr>
                    <w:t>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vertAlign w:val="baseline"/>
                      <w:lang w:eastAsia="zh-CN"/>
                    </w:rPr>
                    <w:t>，</w:t>
                  </w:r>
                  <w:r>
                    <w:rPr>
                      <w:rFonts w:hint="default" w:ascii="Times New Roman" w:hAnsi="Times New Roman" w:eastAsia="宋体" w:cs="Times New Roman"/>
                      <w:kern w:val="2"/>
                      <w:sz w:val="21"/>
                      <w:szCs w:val="21"/>
                      <w:vertAlign w:val="baseline"/>
                      <w:lang w:val="en-US" w:eastAsia="zh-CN"/>
                    </w:rPr>
                    <w:t>非甲烷总烃</w:t>
                  </w:r>
                  <w:r>
                    <w:rPr>
                      <w:rFonts w:hint="default" w:ascii="Times New Roman" w:hAnsi="Times New Roman" w:eastAsia="宋体" w:cs="Times New Roman"/>
                      <w:kern w:val="2"/>
                      <w:sz w:val="21"/>
                      <w:szCs w:val="21"/>
                      <w:lang w:eastAsia="zh-CN"/>
                    </w:rPr>
                    <w:t>的</w:t>
                  </w:r>
                  <w:r>
                    <w:rPr>
                      <w:rFonts w:hint="default" w:ascii="Times New Roman" w:hAnsi="Times New Roman" w:eastAsia="宋体" w:cs="Times New Roman"/>
                      <w:color w:val="000000"/>
                      <w:kern w:val="2"/>
                      <w:sz w:val="21"/>
                      <w:szCs w:val="21"/>
                      <w:lang w:eastAsia="zh-CN"/>
                    </w:rPr>
                    <w:t>最大值为</w:t>
                  </w:r>
                  <w:r>
                    <w:rPr>
                      <w:rFonts w:hint="default" w:ascii="Times New Roman" w:hAnsi="Times New Roman" w:eastAsia="宋体" w:cs="Times New Roman"/>
                      <w:color w:val="000000"/>
                      <w:kern w:val="2"/>
                      <w:sz w:val="21"/>
                      <w:szCs w:val="21"/>
                      <w:lang w:val="en-US" w:eastAsia="zh-CN"/>
                    </w:rPr>
                    <w:t>1.20</w:t>
                  </w: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vertAlign w:val="baseline"/>
                      <w:lang w:eastAsia="zh-CN"/>
                    </w:rPr>
                    <w:t>，厂区内</w:t>
                  </w:r>
                  <w:r>
                    <w:rPr>
                      <w:rFonts w:hint="default" w:ascii="Times New Roman" w:hAnsi="Times New Roman" w:eastAsia="宋体" w:cs="Times New Roman"/>
                      <w:kern w:val="2"/>
                      <w:sz w:val="21"/>
                      <w:szCs w:val="21"/>
                      <w:vertAlign w:val="baseline"/>
                      <w:lang w:val="en-US" w:eastAsia="zh-CN"/>
                    </w:rPr>
                    <w:t>非甲烷总烃</w:t>
                  </w:r>
                  <w:r>
                    <w:rPr>
                      <w:rFonts w:hint="default" w:ascii="Times New Roman" w:hAnsi="Times New Roman" w:eastAsia="宋体" w:cs="Times New Roman"/>
                      <w:kern w:val="2"/>
                      <w:sz w:val="21"/>
                      <w:szCs w:val="21"/>
                      <w:lang w:eastAsia="zh-CN"/>
                    </w:rPr>
                    <w:t>的均值</w:t>
                  </w:r>
                  <w:r>
                    <w:rPr>
                      <w:rFonts w:hint="default" w:ascii="Times New Roman" w:hAnsi="Times New Roman" w:eastAsia="宋体" w:cs="Times New Roman"/>
                      <w:color w:val="000000"/>
                      <w:kern w:val="2"/>
                      <w:sz w:val="21"/>
                      <w:szCs w:val="21"/>
                      <w:lang w:eastAsia="zh-CN"/>
                    </w:rPr>
                    <w:t>为</w:t>
                  </w:r>
                  <w:r>
                    <w:rPr>
                      <w:rFonts w:hint="default" w:ascii="Times New Roman" w:hAnsi="Times New Roman" w:eastAsia="宋体" w:cs="Times New Roman"/>
                      <w:color w:val="000000"/>
                      <w:kern w:val="2"/>
                      <w:sz w:val="21"/>
                      <w:szCs w:val="21"/>
                      <w:lang w:val="en-US" w:eastAsia="zh-CN"/>
                    </w:rPr>
                    <w:t>2.11</w:t>
                  </w: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color w:val="000000"/>
                      <w:kern w:val="2"/>
                      <w:sz w:val="21"/>
                      <w:szCs w:val="21"/>
                    </w:rPr>
                    <w:t>；</w:t>
                  </w:r>
                  <w:r>
                    <w:rPr>
                      <w:rFonts w:hint="default" w:ascii="Times New Roman" w:hAnsi="Times New Roman" w:eastAsia="宋体" w:cs="Times New Roman"/>
                      <w:b w:val="0"/>
                      <w:bCs w:val="0"/>
                      <w:kern w:val="2"/>
                      <w:sz w:val="21"/>
                      <w:szCs w:val="21"/>
                    </w:rPr>
                    <w:t>202</w:t>
                  </w:r>
                  <w:r>
                    <w:rPr>
                      <w:rFonts w:hint="default" w:ascii="Times New Roman" w:hAnsi="Times New Roman" w:eastAsia="宋体" w:cs="Times New Roman"/>
                      <w:b w:val="0"/>
                      <w:bCs w:val="0"/>
                      <w:kern w:val="2"/>
                      <w:sz w:val="21"/>
                      <w:szCs w:val="21"/>
                      <w:lang w:val="en-US" w:eastAsia="zh-CN"/>
                    </w:rPr>
                    <w:t>3</w:t>
                  </w:r>
                  <w:r>
                    <w:rPr>
                      <w:rFonts w:hint="default" w:ascii="Times New Roman" w:hAnsi="Times New Roman" w:eastAsia="宋体" w:cs="Times New Roman"/>
                      <w:b w:val="0"/>
                      <w:bCs w:val="0"/>
                      <w:kern w:val="2"/>
                      <w:sz w:val="21"/>
                      <w:szCs w:val="21"/>
                    </w:rPr>
                    <w:t>年</w:t>
                  </w:r>
                  <w:r>
                    <w:rPr>
                      <w:rFonts w:hint="default" w:ascii="Times New Roman" w:hAnsi="Times New Roman" w:eastAsia="宋体" w:cs="Times New Roman"/>
                      <w:b w:val="0"/>
                      <w:bCs w:val="0"/>
                      <w:kern w:val="2"/>
                      <w:sz w:val="21"/>
                      <w:szCs w:val="21"/>
                      <w:lang w:val="en-US" w:eastAsia="zh-CN"/>
                    </w:rPr>
                    <w:t>04</w:t>
                  </w:r>
                  <w:r>
                    <w:rPr>
                      <w:rFonts w:hint="default" w:ascii="Times New Roman" w:hAnsi="Times New Roman" w:eastAsia="宋体" w:cs="Times New Roman"/>
                      <w:b w:val="0"/>
                      <w:bCs w:val="0"/>
                      <w:kern w:val="2"/>
                      <w:sz w:val="21"/>
                      <w:szCs w:val="21"/>
                    </w:rPr>
                    <w:t>月</w:t>
                  </w:r>
                  <w:r>
                    <w:rPr>
                      <w:rFonts w:hint="default" w:ascii="Times New Roman" w:hAnsi="Times New Roman" w:eastAsia="宋体" w:cs="Times New Roman"/>
                      <w:b w:val="0"/>
                      <w:bCs w:val="0"/>
                      <w:kern w:val="2"/>
                      <w:sz w:val="21"/>
                      <w:szCs w:val="21"/>
                      <w:lang w:val="en-US" w:eastAsia="zh-CN"/>
                    </w:rPr>
                    <w:t>21</w:t>
                  </w:r>
                  <w:r>
                    <w:rPr>
                      <w:rFonts w:hint="default" w:ascii="Times New Roman" w:hAnsi="Times New Roman" w:eastAsia="宋体" w:cs="Times New Roman"/>
                      <w:b w:val="0"/>
                      <w:bCs w:val="0"/>
                      <w:kern w:val="2"/>
                      <w:sz w:val="21"/>
                      <w:szCs w:val="21"/>
                    </w:rPr>
                    <w:t>日</w:t>
                  </w:r>
                  <w:r>
                    <w:rPr>
                      <w:rFonts w:hint="default" w:ascii="Times New Roman" w:hAnsi="Times New Roman" w:eastAsia="宋体" w:cs="Times New Roman"/>
                      <w:color w:val="000000"/>
                      <w:kern w:val="2"/>
                      <w:sz w:val="21"/>
                      <w:szCs w:val="21"/>
                      <w:lang w:eastAsia="zh-CN"/>
                    </w:rPr>
                    <w:t>，厂界四个监测点位总悬浮颗粒物的最大值为</w:t>
                  </w:r>
                  <w:r>
                    <w:rPr>
                      <w:rFonts w:hint="default" w:ascii="Times New Roman" w:hAnsi="Times New Roman" w:eastAsia="宋体" w:cs="Times New Roman"/>
                      <w:color w:val="000000"/>
                      <w:kern w:val="2"/>
                      <w:sz w:val="21"/>
                      <w:szCs w:val="21"/>
                      <w:lang w:val="en-US" w:eastAsia="zh-CN"/>
                    </w:rPr>
                    <w:t>0.233</w:t>
                  </w: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vertAlign w:val="baseline"/>
                      <w:lang w:eastAsia="zh-CN"/>
                    </w:rPr>
                    <w:t>，</w:t>
                  </w:r>
                  <w:r>
                    <w:rPr>
                      <w:rFonts w:hint="default" w:ascii="Times New Roman" w:hAnsi="Times New Roman" w:eastAsia="宋体" w:cs="Times New Roman"/>
                      <w:color w:val="000000"/>
                      <w:kern w:val="2"/>
                      <w:sz w:val="21"/>
                      <w:szCs w:val="21"/>
                      <w:lang w:eastAsia="zh-CN"/>
                    </w:rPr>
                    <w:t>锡的最大值为</w:t>
                  </w:r>
                  <w:r>
                    <w:rPr>
                      <w:rFonts w:hint="default" w:ascii="Times New Roman" w:hAnsi="Times New Roman" w:eastAsia="宋体" w:cs="Times New Roman"/>
                      <w:kern w:val="2"/>
                      <w:sz w:val="21"/>
                      <w:szCs w:val="21"/>
                    </w:rPr>
                    <w:t>&lt;</w:t>
                  </w:r>
                  <w:r>
                    <w:rPr>
                      <w:rFonts w:hint="eastAsia" w:cs="Times New Roman"/>
                      <w:kern w:val="2"/>
                      <w:sz w:val="21"/>
                      <w:szCs w:val="21"/>
                      <w:lang w:val="en-US" w:eastAsia="zh-CN"/>
                    </w:rPr>
                    <w:t>1</w:t>
                  </w:r>
                  <w:r>
                    <w:rPr>
                      <w:rFonts w:hint="default" w:ascii="Times New Roman" w:hAnsi="Times New Roman" w:eastAsia="宋体" w:cs="Times New Roman"/>
                      <w:kern w:val="2"/>
                      <w:sz w:val="21"/>
                      <w:szCs w:val="21"/>
                    </w:rPr>
                    <w:t>×10</w:t>
                  </w:r>
                  <w:r>
                    <w:rPr>
                      <w:rFonts w:hint="default" w:ascii="Times New Roman" w:hAnsi="Times New Roman" w:eastAsia="宋体" w:cs="Times New Roman"/>
                      <w:kern w:val="2"/>
                      <w:sz w:val="21"/>
                      <w:szCs w:val="21"/>
                      <w:vertAlign w:val="superscript"/>
                    </w:rPr>
                    <w:t>-</w:t>
                  </w:r>
                  <w:r>
                    <w:rPr>
                      <w:rFonts w:hint="eastAsia" w:ascii="Times New Roman" w:hAnsi="Times New Roman" w:cs="Times New Roman"/>
                      <w:kern w:val="2"/>
                      <w:sz w:val="21"/>
                      <w:szCs w:val="21"/>
                      <w:vertAlign w:val="superscript"/>
                      <w:lang w:val="en-US" w:eastAsia="zh-CN"/>
                    </w:rPr>
                    <w:t>5</w:t>
                  </w:r>
                  <w:r>
                    <w:rPr>
                      <w:rFonts w:hint="eastAsia" w:ascii="Times New Roman" w:hAnsi="Times New Roman" w:cs="Times New Roman"/>
                      <w:kern w:val="2"/>
                      <w:sz w:val="21"/>
                      <w:szCs w:val="21"/>
                      <w:vertAlign w:val="baseline"/>
                      <w:lang w:val="en-US" w:eastAsia="zh-CN"/>
                    </w:rPr>
                    <w:t>m</w:t>
                  </w:r>
                  <w:r>
                    <w:rPr>
                      <w:rFonts w:hint="default" w:ascii="Times New Roman" w:hAnsi="Times New Roman" w:eastAsia="宋体" w:cs="Times New Roman"/>
                      <w:kern w:val="2"/>
                      <w:sz w:val="21"/>
                      <w:szCs w:val="21"/>
                    </w:rPr>
                    <w:t>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vertAlign w:val="baseline"/>
                      <w:lang w:eastAsia="zh-CN"/>
                    </w:rPr>
                    <w:t>，</w:t>
                  </w:r>
                  <w:r>
                    <w:rPr>
                      <w:rFonts w:hint="default" w:ascii="Times New Roman" w:hAnsi="Times New Roman" w:eastAsia="宋体" w:cs="Times New Roman"/>
                      <w:kern w:val="2"/>
                      <w:sz w:val="21"/>
                      <w:szCs w:val="21"/>
                      <w:vertAlign w:val="baseline"/>
                      <w:lang w:val="en-US" w:eastAsia="zh-CN"/>
                    </w:rPr>
                    <w:t>非甲烷总烃</w:t>
                  </w:r>
                  <w:r>
                    <w:rPr>
                      <w:rFonts w:hint="default" w:ascii="Times New Roman" w:hAnsi="Times New Roman" w:eastAsia="宋体" w:cs="Times New Roman"/>
                      <w:kern w:val="2"/>
                      <w:sz w:val="21"/>
                      <w:szCs w:val="21"/>
                      <w:lang w:eastAsia="zh-CN"/>
                    </w:rPr>
                    <w:t>的</w:t>
                  </w:r>
                  <w:r>
                    <w:rPr>
                      <w:rFonts w:hint="default" w:ascii="Times New Roman" w:hAnsi="Times New Roman" w:eastAsia="宋体" w:cs="Times New Roman"/>
                      <w:color w:val="000000"/>
                      <w:kern w:val="2"/>
                      <w:sz w:val="21"/>
                      <w:szCs w:val="21"/>
                      <w:lang w:eastAsia="zh-CN"/>
                    </w:rPr>
                    <w:t>最大值为</w:t>
                  </w:r>
                  <w:r>
                    <w:rPr>
                      <w:rFonts w:hint="default" w:ascii="Times New Roman" w:hAnsi="Times New Roman" w:eastAsia="宋体" w:cs="Times New Roman"/>
                      <w:color w:val="000000"/>
                      <w:kern w:val="2"/>
                      <w:sz w:val="21"/>
                      <w:szCs w:val="21"/>
                      <w:lang w:val="en-US" w:eastAsia="zh-CN"/>
                    </w:rPr>
                    <w:t>1.22</w:t>
                  </w: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kern w:val="2"/>
                      <w:sz w:val="21"/>
                      <w:szCs w:val="21"/>
                      <w:vertAlign w:val="baseline"/>
                      <w:lang w:eastAsia="zh-CN"/>
                    </w:rPr>
                    <w:t>，厂区内</w:t>
                  </w:r>
                  <w:r>
                    <w:rPr>
                      <w:rFonts w:hint="default" w:ascii="Times New Roman" w:hAnsi="Times New Roman" w:eastAsia="宋体" w:cs="Times New Roman"/>
                      <w:kern w:val="2"/>
                      <w:sz w:val="21"/>
                      <w:szCs w:val="21"/>
                      <w:vertAlign w:val="baseline"/>
                      <w:lang w:val="en-US" w:eastAsia="zh-CN"/>
                    </w:rPr>
                    <w:t>非甲烷总烃</w:t>
                  </w:r>
                  <w:r>
                    <w:rPr>
                      <w:rFonts w:hint="default" w:ascii="Times New Roman" w:hAnsi="Times New Roman" w:eastAsia="宋体" w:cs="Times New Roman"/>
                      <w:kern w:val="2"/>
                      <w:sz w:val="21"/>
                      <w:szCs w:val="21"/>
                      <w:lang w:eastAsia="zh-CN"/>
                    </w:rPr>
                    <w:t>的均值</w:t>
                  </w:r>
                  <w:r>
                    <w:rPr>
                      <w:rFonts w:hint="default" w:ascii="Times New Roman" w:hAnsi="Times New Roman" w:eastAsia="宋体" w:cs="Times New Roman"/>
                      <w:color w:val="000000"/>
                      <w:kern w:val="2"/>
                      <w:sz w:val="21"/>
                      <w:szCs w:val="21"/>
                      <w:lang w:eastAsia="zh-CN"/>
                    </w:rPr>
                    <w:t>为</w:t>
                  </w:r>
                  <w:r>
                    <w:rPr>
                      <w:rFonts w:hint="default" w:ascii="Times New Roman" w:hAnsi="Times New Roman" w:eastAsia="宋体" w:cs="Times New Roman"/>
                      <w:color w:val="000000"/>
                      <w:kern w:val="2"/>
                      <w:sz w:val="21"/>
                      <w:szCs w:val="21"/>
                      <w:lang w:val="en-US" w:eastAsia="zh-CN"/>
                    </w:rPr>
                    <w:t>2.10</w:t>
                  </w:r>
                  <w:r>
                    <w:rPr>
                      <w:rFonts w:hint="default" w:ascii="Times New Roman" w:hAnsi="Times New Roman" w:eastAsia="宋体" w:cs="Times New Roman"/>
                      <w:kern w:val="2"/>
                      <w:sz w:val="21"/>
                      <w:szCs w:val="21"/>
                    </w:rPr>
                    <w:t>mg/m</w:t>
                  </w:r>
                  <w:r>
                    <w:rPr>
                      <w:rFonts w:hint="default" w:ascii="Times New Roman" w:hAnsi="Times New Roman" w:eastAsia="宋体" w:cs="Times New Roman"/>
                      <w:kern w:val="2"/>
                      <w:sz w:val="21"/>
                      <w:szCs w:val="21"/>
                      <w:vertAlign w:val="superscript"/>
                    </w:rPr>
                    <w:t>3</w:t>
                  </w:r>
                  <w:r>
                    <w:rPr>
                      <w:rFonts w:hint="default" w:ascii="Times New Roman" w:hAnsi="Times New Roman" w:eastAsia="宋体" w:cs="Times New Roman"/>
                      <w:color w:val="000000"/>
                      <w:kern w:val="2"/>
                      <w:sz w:val="21"/>
                      <w:szCs w:val="21"/>
                      <w:lang w:val="en-US" w:eastAsia="zh-CN"/>
                    </w:rPr>
                    <w:t>，</w:t>
                  </w:r>
                  <w:r>
                    <w:rPr>
                      <w:rFonts w:hint="default" w:ascii="Times New Roman" w:hAnsi="Times New Roman" w:eastAsia="宋体" w:cs="Times New Roman"/>
                      <w:color w:val="000000"/>
                      <w:kern w:val="2"/>
                      <w:sz w:val="21"/>
                      <w:szCs w:val="21"/>
                    </w:rPr>
                    <w:t>两天的检测结果符合标准限值要求</w:t>
                  </w:r>
                  <w:r>
                    <w:rPr>
                      <w:rFonts w:hint="default" w:ascii="Times New Roman" w:hAnsi="Times New Roman" w:eastAsia="宋体" w:cs="Times New Roman"/>
                      <w:color w:val="000000"/>
                      <w:kern w:val="2"/>
                      <w:sz w:val="21"/>
                      <w:szCs w:val="21"/>
                      <w:lang w:eastAsia="zh-CN"/>
                    </w:rPr>
                    <w:t>。</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bCs/>
                <w:kern w:val="0"/>
                <w:sz w:val="21"/>
                <w:szCs w:val="21"/>
                <w:lang w:val="en-US" w:eastAsia="zh-CN"/>
              </w:rPr>
            </w:pPr>
          </w:p>
          <w:p>
            <w:pPr>
              <w:pStyle w:val="70"/>
              <w:numPr>
                <w:ilvl w:val="0"/>
                <w:numId w:val="0"/>
              </w:numPr>
              <w:tabs>
                <w:tab w:val="left" w:pos="2520"/>
              </w:tabs>
              <w:spacing w:before="0" w:line="360" w:lineRule="auto"/>
              <w:rPr>
                <w:rFonts w:hint="default" w:ascii="Times New Roman" w:hAnsi="Times New Roman"/>
                <w:b/>
                <w:bCs w:val="0"/>
                <w:szCs w:val="21"/>
                <w:lang w:val="en-US" w:eastAsia="zh-CN"/>
              </w:rPr>
            </w:pPr>
            <w:r>
              <w:rPr>
                <w:rFonts w:hint="eastAsia" w:ascii="Times New Roman" w:hAnsi="Times New Roman"/>
                <w:b/>
                <w:bCs w:val="0"/>
                <w:szCs w:val="21"/>
                <w:lang w:val="en-US" w:eastAsia="zh-CN"/>
              </w:rPr>
              <w:t>4、噪声</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kern w:val="0"/>
                <w:sz w:val="21"/>
                <w:szCs w:val="21"/>
                <w:lang w:val="en-US" w:eastAsia="zh-CN"/>
              </w:rPr>
            </w:pPr>
            <w:r>
              <w:rPr>
                <w:b/>
                <w:sz w:val="21"/>
                <w:szCs w:val="21"/>
              </w:rPr>
              <w:t>表7-</w:t>
            </w:r>
            <w:r>
              <w:rPr>
                <w:rFonts w:hint="eastAsia"/>
                <w:b/>
                <w:sz w:val="21"/>
                <w:szCs w:val="21"/>
                <w:lang w:val="en-US" w:eastAsia="zh-CN"/>
              </w:rPr>
              <w:t>6</w:t>
            </w:r>
            <w:r>
              <w:rPr>
                <w:rFonts w:hint="eastAsia"/>
                <w:b/>
                <w:bCs/>
                <w:kern w:val="0"/>
                <w:sz w:val="21"/>
                <w:szCs w:val="21"/>
                <w:lang w:val="en-US" w:eastAsia="zh-CN"/>
              </w:rPr>
              <w:t>噪声监测结果</w:t>
            </w:r>
          </w:p>
          <w:tbl>
            <w:tblPr>
              <w:tblStyle w:val="114"/>
              <w:tblW w:w="8578" w:type="dxa"/>
              <w:tblInd w:w="1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9"/>
              <w:gridCol w:w="690"/>
              <w:gridCol w:w="885"/>
              <w:gridCol w:w="990"/>
              <w:gridCol w:w="675"/>
              <w:gridCol w:w="675"/>
              <w:gridCol w:w="675"/>
              <w:gridCol w:w="675"/>
              <w:gridCol w:w="817"/>
              <w:gridCol w:w="789"/>
              <w:gridCol w:w="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99" w:type="dxa"/>
                  <w:vMerge w:val="restart"/>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测试日期</w:t>
                  </w:r>
                </w:p>
              </w:tc>
              <w:tc>
                <w:tcPr>
                  <w:tcW w:w="690" w:type="dxa"/>
                  <w:vMerge w:val="restart"/>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检测点位</w:t>
                  </w:r>
                </w:p>
              </w:tc>
              <w:tc>
                <w:tcPr>
                  <w:tcW w:w="885" w:type="dxa"/>
                  <w:vMerge w:val="restart"/>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测试时间</w:t>
                  </w:r>
                </w:p>
              </w:tc>
              <w:tc>
                <w:tcPr>
                  <w:tcW w:w="990" w:type="dxa"/>
                  <w:vMerge w:val="restart"/>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主要声源</w:t>
                  </w:r>
                </w:p>
              </w:tc>
              <w:tc>
                <w:tcPr>
                  <w:tcW w:w="4914" w:type="dxa"/>
                  <w:gridSpan w:val="7"/>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 xml:space="preserve">测定值dB(A) </w:t>
                  </w:r>
                  <w:r>
                    <w:rPr>
                      <w:rFonts w:hint="default" w:ascii="Times New Roman" w:hAnsi="Times New Roman" w:eastAsia="宋体" w:cs="Times New Roman"/>
                      <w:b/>
                      <w:bCs/>
                      <w:kern w:val="2"/>
                      <w:sz w:val="21"/>
                      <w:szCs w:val="21"/>
                      <w:lang w:eastAsia="zh-CN"/>
                    </w:rPr>
                    <w:t>、</w:t>
                  </w:r>
                  <w:r>
                    <w:rPr>
                      <w:rFonts w:hint="default" w:ascii="Times New Roman" w:hAnsi="Times New Roman" w:eastAsia="宋体" w:cs="Times New Roman"/>
                      <w:b/>
                      <w:bCs/>
                      <w:kern w:val="2"/>
                      <w:sz w:val="21"/>
                      <w:szCs w:val="21"/>
                    </w:rPr>
                    <w:t>SD无量纲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continue"/>
                  <w:noWrap w:val="0"/>
                  <w:vAlign w:val="center"/>
                </w:tcPr>
                <w:p>
                  <w:pPr>
                    <w:widowControl w:val="0"/>
                    <w:jc w:val="both"/>
                    <w:rPr>
                      <w:rFonts w:hint="default" w:ascii="Times New Roman" w:hAnsi="Times New Roman" w:eastAsia="宋体" w:cs="Times New Roman"/>
                      <w:b/>
                      <w:bCs/>
                      <w:kern w:val="2"/>
                      <w:sz w:val="21"/>
                      <w:szCs w:val="21"/>
                    </w:rPr>
                  </w:pPr>
                </w:p>
              </w:tc>
              <w:tc>
                <w:tcPr>
                  <w:tcW w:w="690" w:type="dxa"/>
                  <w:vMerge w:val="continue"/>
                  <w:noWrap w:val="0"/>
                  <w:vAlign w:val="center"/>
                </w:tcPr>
                <w:p>
                  <w:pPr>
                    <w:widowControl w:val="0"/>
                    <w:jc w:val="both"/>
                    <w:rPr>
                      <w:rFonts w:hint="default" w:ascii="Times New Roman" w:hAnsi="Times New Roman" w:eastAsia="宋体" w:cs="Times New Roman"/>
                      <w:b/>
                      <w:bCs/>
                      <w:kern w:val="2"/>
                      <w:sz w:val="21"/>
                      <w:szCs w:val="21"/>
                    </w:rPr>
                  </w:pPr>
                </w:p>
              </w:tc>
              <w:tc>
                <w:tcPr>
                  <w:tcW w:w="885" w:type="dxa"/>
                  <w:vMerge w:val="continue"/>
                  <w:noWrap w:val="0"/>
                  <w:vAlign w:val="center"/>
                </w:tcPr>
                <w:p>
                  <w:pPr>
                    <w:widowControl w:val="0"/>
                    <w:jc w:val="both"/>
                    <w:rPr>
                      <w:rFonts w:hint="default" w:ascii="Times New Roman" w:hAnsi="Times New Roman" w:eastAsia="宋体" w:cs="Times New Roman"/>
                      <w:b/>
                      <w:bCs/>
                      <w:kern w:val="2"/>
                      <w:sz w:val="21"/>
                      <w:szCs w:val="21"/>
                    </w:rPr>
                  </w:pPr>
                </w:p>
              </w:tc>
              <w:tc>
                <w:tcPr>
                  <w:tcW w:w="990" w:type="dxa"/>
                  <w:vMerge w:val="continue"/>
                  <w:noWrap w:val="0"/>
                  <w:vAlign w:val="center"/>
                </w:tcPr>
                <w:p>
                  <w:pPr>
                    <w:widowControl w:val="0"/>
                    <w:jc w:val="both"/>
                    <w:rPr>
                      <w:rFonts w:hint="default" w:ascii="Times New Roman" w:hAnsi="Times New Roman" w:eastAsia="宋体" w:cs="Times New Roman"/>
                      <w:b/>
                      <w:bCs/>
                      <w:kern w:val="2"/>
                      <w:sz w:val="21"/>
                      <w:szCs w:val="21"/>
                    </w:rPr>
                  </w:pPr>
                </w:p>
              </w:tc>
              <w:tc>
                <w:tcPr>
                  <w:tcW w:w="675" w:type="dxa"/>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Leq</w:t>
                  </w:r>
                </w:p>
              </w:tc>
              <w:tc>
                <w:tcPr>
                  <w:tcW w:w="675" w:type="dxa"/>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L10</w:t>
                  </w:r>
                </w:p>
              </w:tc>
              <w:tc>
                <w:tcPr>
                  <w:tcW w:w="675" w:type="dxa"/>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L50</w:t>
                  </w:r>
                </w:p>
              </w:tc>
              <w:tc>
                <w:tcPr>
                  <w:tcW w:w="675" w:type="dxa"/>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L90</w:t>
                  </w:r>
                </w:p>
              </w:tc>
              <w:tc>
                <w:tcPr>
                  <w:tcW w:w="817" w:type="dxa"/>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Lmax</w:t>
                  </w:r>
                </w:p>
              </w:tc>
              <w:tc>
                <w:tcPr>
                  <w:tcW w:w="789" w:type="dxa"/>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Lmin</w:t>
                  </w:r>
                </w:p>
              </w:tc>
              <w:tc>
                <w:tcPr>
                  <w:tcW w:w="608" w:type="dxa"/>
                  <w:noWrap w:val="0"/>
                  <w:tcMar>
                    <w:top w:w="67" w:type="dxa"/>
                    <w:left w:w="118" w:type="dxa"/>
                    <w:bottom w:w="67" w:type="dxa"/>
                    <w:right w:w="11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b/>
                      <w:bCs/>
                      <w:kern w:val="2"/>
                      <w:sz w:val="21"/>
                      <w:szCs w:val="21"/>
                    </w:rPr>
                    <w:t>SD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restart"/>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2023.04.20</w:t>
                  </w: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12:34</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58.3</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62.0</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56.6</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53.2</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64.4</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52.0</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continue"/>
                  <w:noWrap w:val="0"/>
                  <w:vAlign w:val="center"/>
                </w:tcPr>
                <w:p>
                  <w:pPr>
                    <w:widowControl w:val="0"/>
                    <w:jc w:val="both"/>
                    <w:rPr>
                      <w:rFonts w:hint="default" w:ascii="Times New Roman" w:hAnsi="Times New Roman" w:eastAsia="宋体" w:cs="Times New Roman"/>
                      <w:kern w:val="2"/>
                      <w:sz w:val="21"/>
                      <w:szCs w:val="21"/>
                    </w:rPr>
                  </w:pP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12:17</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57.1</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61.4</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55.6</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49.8</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62.8</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48.5</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continue"/>
                  <w:noWrap w:val="0"/>
                  <w:vAlign w:val="center"/>
                </w:tcPr>
                <w:p>
                  <w:pPr>
                    <w:widowControl w:val="0"/>
                    <w:jc w:val="both"/>
                    <w:rPr>
                      <w:rFonts w:hint="default" w:ascii="Times New Roman" w:hAnsi="Times New Roman" w:eastAsia="宋体" w:cs="Times New Roman"/>
                      <w:kern w:val="2"/>
                      <w:sz w:val="21"/>
                      <w:szCs w:val="21"/>
                    </w:rPr>
                  </w:pP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11:39</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58.4</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61.2</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56.6</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56.0</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62.2</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55.7</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continue"/>
                  <w:noWrap w:val="0"/>
                  <w:vAlign w:val="center"/>
                </w:tcPr>
                <w:p>
                  <w:pPr>
                    <w:widowControl w:val="0"/>
                    <w:jc w:val="both"/>
                    <w:rPr>
                      <w:rFonts w:hint="default" w:ascii="Times New Roman" w:hAnsi="Times New Roman" w:eastAsia="宋体" w:cs="Times New Roman"/>
                      <w:kern w:val="2"/>
                      <w:sz w:val="21"/>
                      <w:szCs w:val="21"/>
                    </w:rPr>
                  </w:pP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11:58</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59.6</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63.4</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56.8</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53.2</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70.0</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52.2</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restart"/>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2023.04.21</w:t>
                  </w: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09:50</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58.4</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60.0</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58.2</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56.6</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61.7</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53.3</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continue"/>
                  <w:noWrap w:val="0"/>
                  <w:vAlign w:val="center"/>
                </w:tcPr>
                <w:p>
                  <w:pPr>
                    <w:widowControl w:val="0"/>
                    <w:jc w:val="both"/>
                    <w:rPr>
                      <w:rFonts w:hint="default" w:ascii="Times New Roman" w:hAnsi="Times New Roman" w:eastAsia="宋体" w:cs="Times New Roman"/>
                      <w:kern w:val="2"/>
                      <w:sz w:val="21"/>
                      <w:szCs w:val="21"/>
                    </w:rPr>
                  </w:pP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10:06</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58.4</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60.6</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57.8</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56.4</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66.0</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48.9</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continue"/>
                  <w:noWrap w:val="0"/>
                  <w:vAlign w:val="center"/>
                </w:tcPr>
                <w:p>
                  <w:pPr>
                    <w:widowControl w:val="0"/>
                    <w:jc w:val="both"/>
                    <w:rPr>
                      <w:rFonts w:hint="default" w:ascii="Times New Roman" w:hAnsi="Times New Roman" w:eastAsia="宋体" w:cs="Times New Roman"/>
                      <w:kern w:val="2"/>
                      <w:sz w:val="21"/>
                      <w:szCs w:val="21"/>
                    </w:rPr>
                  </w:pP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10:20</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58.1</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59.8</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58.4</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54.6</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62.4</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54.0</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9" w:type="dxa"/>
                  <w:vMerge w:val="continue"/>
                  <w:noWrap w:val="0"/>
                  <w:vAlign w:val="center"/>
                </w:tcPr>
                <w:p>
                  <w:pPr>
                    <w:widowControl w:val="0"/>
                    <w:jc w:val="both"/>
                    <w:rPr>
                      <w:rFonts w:hint="default" w:ascii="Times New Roman" w:hAnsi="Times New Roman" w:eastAsia="宋体" w:cs="Times New Roman"/>
                      <w:kern w:val="2"/>
                      <w:sz w:val="21"/>
                      <w:szCs w:val="21"/>
                    </w:rPr>
                  </w:pPr>
                </w:p>
              </w:tc>
              <w:tc>
                <w:tcPr>
                  <w:tcW w:w="6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88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10:36</w:t>
                  </w:r>
                </w:p>
              </w:tc>
              <w:tc>
                <w:tcPr>
                  <w:tcW w:w="990"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设备噪声</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58.0</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60.6</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57.4</w:t>
                  </w:r>
                </w:p>
              </w:tc>
              <w:tc>
                <w:tcPr>
                  <w:tcW w:w="675"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55.4</w:t>
                  </w:r>
                </w:p>
              </w:tc>
              <w:tc>
                <w:tcPr>
                  <w:tcW w:w="817"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63.8</w:t>
                  </w:r>
                </w:p>
              </w:tc>
              <w:tc>
                <w:tcPr>
                  <w:tcW w:w="789"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54.5</w:t>
                  </w:r>
                </w:p>
              </w:tc>
              <w:tc>
                <w:tcPr>
                  <w:tcW w:w="608" w:type="dxa"/>
                  <w:noWrap w:val="0"/>
                  <w:tcMar>
                    <w:top w:w="8" w:type="dxa"/>
                    <w:left w:w="8" w:type="dxa"/>
                    <w:bottom w:w="8" w:type="dxa"/>
                    <w:right w:w="8" w:type="dxa"/>
                  </w:tcMar>
                  <w:vAlign w:val="center"/>
                </w:tcPr>
                <w:p>
                  <w:pPr>
                    <w:pStyle w:val="115"/>
                    <w:widowControl w:val="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578" w:type="dxa"/>
                  <w:gridSpan w:val="11"/>
                  <w:noWrap w:val="0"/>
                  <w:vAlign w:val="center"/>
                </w:tcPr>
                <w:p>
                  <w:pPr>
                    <w:pStyle w:val="115"/>
                    <w:widowControl w:val="0"/>
                    <w:jc w:val="left"/>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lang w:eastAsia="zh-CN"/>
                    </w:rPr>
                    <w:t>注：夜间不生产，声源：焊接工序等。</w:t>
                  </w:r>
                  <w:r>
                    <w:rPr>
                      <w:rFonts w:hint="default" w:ascii="Times New Roman" w:hAnsi="Times New Roman" w:eastAsia="宋体" w:cs="Times New Roman"/>
                      <w:kern w:val="2"/>
                      <w:sz w:val="21"/>
                      <w:szCs w:val="21"/>
                    </w:rPr>
                    <w:t>结论：</w:t>
                  </w:r>
                  <w:r>
                    <w:rPr>
                      <w:rFonts w:hint="default" w:ascii="Times New Roman" w:hAnsi="Times New Roman" w:eastAsia="宋体" w:cs="Times New Roman"/>
                      <w:kern w:val="2"/>
                      <w:sz w:val="21"/>
                      <w:szCs w:val="21"/>
                      <w:lang w:eastAsia="zh-CN"/>
                    </w:rPr>
                    <w:t>202</w:t>
                  </w:r>
                  <w:r>
                    <w:rPr>
                      <w:rFonts w:hint="default" w:ascii="Times New Roman" w:hAnsi="Times New Roman" w:eastAsia="宋体" w:cs="Times New Roman"/>
                      <w:kern w:val="2"/>
                      <w:sz w:val="21"/>
                      <w:szCs w:val="21"/>
                      <w:lang w:val="en-US" w:eastAsia="zh-CN"/>
                    </w:rPr>
                    <w:t>3</w:t>
                  </w:r>
                  <w:r>
                    <w:rPr>
                      <w:rFonts w:hint="default" w:ascii="Times New Roman" w:hAnsi="Times New Roman" w:eastAsia="宋体" w:cs="Times New Roman"/>
                      <w:kern w:val="2"/>
                      <w:sz w:val="21"/>
                      <w:szCs w:val="21"/>
                      <w:lang w:eastAsia="zh-CN"/>
                    </w:rPr>
                    <w:t>年</w:t>
                  </w:r>
                  <w:r>
                    <w:rPr>
                      <w:rFonts w:hint="default" w:ascii="Times New Roman" w:hAnsi="Times New Roman" w:eastAsia="宋体" w:cs="Times New Roman"/>
                      <w:kern w:val="2"/>
                      <w:sz w:val="21"/>
                      <w:szCs w:val="21"/>
                      <w:lang w:val="en-US" w:eastAsia="zh-CN"/>
                    </w:rPr>
                    <w:t>04</w:t>
                  </w:r>
                  <w:r>
                    <w:rPr>
                      <w:rFonts w:hint="default" w:ascii="Times New Roman" w:hAnsi="Times New Roman" w:eastAsia="宋体" w:cs="Times New Roman"/>
                      <w:kern w:val="2"/>
                      <w:sz w:val="21"/>
                      <w:szCs w:val="21"/>
                      <w:lang w:eastAsia="zh-CN"/>
                    </w:rPr>
                    <w:t>月</w:t>
                  </w:r>
                  <w:r>
                    <w:rPr>
                      <w:rFonts w:hint="default" w:ascii="Times New Roman" w:hAnsi="Times New Roman" w:eastAsia="宋体" w:cs="Times New Roman"/>
                      <w:kern w:val="2"/>
                      <w:sz w:val="21"/>
                      <w:szCs w:val="21"/>
                      <w:lang w:val="en-US" w:eastAsia="zh-CN"/>
                    </w:rPr>
                    <w:t>20</w:t>
                  </w:r>
                  <w:r>
                    <w:rPr>
                      <w:rFonts w:hint="default" w:ascii="Times New Roman" w:hAnsi="Times New Roman" w:eastAsia="宋体" w:cs="Times New Roman"/>
                      <w:kern w:val="2"/>
                      <w:sz w:val="21"/>
                      <w:szCs w:val="21"/>
                      <w:lang w:eastAsia="zh-CN"/>
                    </w:rPr>
                    <w:t>日~202</w:t>
                  </w:r>
                  <w:r>
                    <w:rPr>
                      <w:rFonts w:hint="default" w:ascii="Times New Roman" w:hAnsi="Times New Roman" w:eastAsia="宋体" w:cs="Times New Roman"/>
                      <w:kern w:val="2"/>
                      <w:sz w:val="21"/>
                      <w:szCs w:val="21"/>
                      <w:lang w:val="en-US" w:eastAsia="zh-CN"/>
                    </w:rPr>
                    <w:t>3</w:t>
                  </w:r>
                  <w:r>
                    <w:rPr>
                      <w:rFonts w:hint="default" w:ascii="Times New Roman" w:hAnsi="Times New Roman" w:eastAsia="宋体" w:cs="Times New Roman"/>
                      <w:kern w:val="2"/>
                      <w:sz w:val="21"/>
                      <w:szCs w:val="21"/>
                      <w:lang w:eastAsia="zh-CN"/>
                    </w:rPr>
                    <w:t>年</w:t>
                  </w:r>
                  <w:r>
                    <w:rPr>
                      <w:rFonts w:hint="default" w:ascii="Times New Roman" w:hAnsi="Times New Roman" w:eastAsia="宋体" w:cs="Times New Roman"/>
                      <w:kern w:val="2"/>
                      <w:sz w:val="21"/>
                      <w:szCs w:val="21"/>
                      <w:lang w:val="en-US" w:eastAsia="zh-CN"/>
                    </w:rPr>
                    <w:t>04</w:t>
                  </w:r>
                  <w:r>
                    <w:rPr>
                      <w:rFonts w:hint="default" w:ascii="Times New Roman" w:hAnsi="Times New Roman" w:eastAsia="宋体" w:cs="Times New Roman"/>
                      <w:kern w:val="2"/>
                      <w:sz w:val="21"/>
                      <w:szCs w:val="21"/>
                      <w:lang w:eastAsia="zh-CN"/>
                    </w:rPr>
                    <w:t>月</w:t>
                  </w:r>
                  <w:r>
                    <w:rPr>
                      <w:rFonts w:hint="default" w:ascii="Times New Roman" w:hAnsi="Times New Roman" w:eastAsia="宋体" w:cs="Times New Roman"/>
                      <w:kern w:val="2"/>
                      <w:sz w:val="21"/>
                      <w:szCs w:val="21"/>
                      <w:lang w:val="en-US" w:eastAsia="zh-CN"/>
                    </w:rPr>
                    <w:t>21</w:t>
                  </w:r>
                  <w:r>
                    <w:rPr>
                      <w:rFonts w:hint="default" w:ascii="Times New Roman" w:hAnsi="Times New Roman" w:eastAsia="宋体" w:cs="Times New Roman"/>
                      <w:kern w:val="2"/>
                      <w:sz w:val="21"/>
                      <w:szCs w:val="21"/>
                      <w:lang w:eastAsia="zh-CN"/>
                    </w:rPr>
                    <w:t>日，厂界昼间噪声结果符合限值要求。</w:t>
                  </w:r>
                </w:p>
              </w:tc>
            </w:tr>
          </w:tbl>
          <w:p>
            <w:pPr>
              <w:pStyle w:val="31"/>
              <w:ind w:left="0" w:leftChars="0" w:firstLine="0" w:firstLineChars="0"/>
              <w:rPr>
                <w:rFonts w:hint="eastAsia"/>
                <w:lang w:val="en-US" w:eastAsia="zh-CN"/>
              </w:rPr>
            </w:pPr>
          </w:p>
          <w:p>
            <w:pPr>
              <w:pStyle w:val="70"/>
              <w:numPr>
                <w:ilvl w:val="0"/>
                <w:numId w:val="0"/>
              </w:numPr>
              <w:tabs>
                <w:tab w:val="left" w:pos="2520"/>
              </w:tabs>
              <w:spacing w:before="0" w:line="360" w:lineRule="auto"/>
              <w:rPr>
                <w:rFonts w:hint="eastAsia" w:ascii="Times New Roman" w:hAnsi="Times New Roman"/>
                <w:b/>
                <w:bCs w:val="0"/>
                <w:szCs w:val="21"/>
                <w:lang w:val="en-US" w:eastAsia="zh-CN"/>
              </w:rPr>
            </w:pPr>
            <w:r>
              <w:rPr>
                <w:rFonts w:hint="eastAsia" w:ascii="Times New Roman" w:hAnsi="Times New Roman"/>
                <w:b/>
                <w:bCs w:val="0"/>
                <w:szCs w:val="21"/>
                <w:lang w:val="en-US" w:eastAsia="zh-CN"/>
              </w:rPr>
              <w:t>5、固废</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本项目产生的固废主要为一般废包装材料、边角料、废润滑油、废润滑油包装桶、含油抹布、收集尘、废活性炭、超声波清洗滤渣以及职工生活垃圾。废包装材料、边角料、收集尘经收集后外售综合利用，废润滑油、废润滑油包装桶、含油抹布、废活性炭经收集后妥善放置于厂区贮存场所，委托</w:t>
            </w:r>
            <w:r>
              <w:rPr>
                <w:rFonts w:hint="eastAsia" w:cs="Times New Roman"/>
                <w:color w:val="auto"/>
                <w:sz w:val="24"/>
                <w:szCs w:val="24"/>
                <w:lang w:val="en-US" w:eastAsia="zh-CN"/>
              </w:rPr>
              <w:t>丽水市民康医疗废物处理有限公司</w:t>
            </w:r>
            <w:r>
              <w:rPr>
                <w:rFonts w:hint="eastAsia" w:cs="Times New Roman"/>
                <w:color w:val="000000" w:themeColor="text1"/>
                <w:sz w:val="24"/>
                <w:szCs w:val="24"/>
                <w:lang w:val="en-US" w:eastAsia="zh-CN"/>
                <w14:textFill>
                  <w14:solidFill>
                    <w14:schemeClr w14:val="tx1"/>
                  </w14:solidFill>
                </w14:textFill>
              </w:rPr>
              <w:t>处理，清洗滤渣、生活垃圾收集后由当地环卫部门清运处理。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kern w:val="2"/>
                <w:sz w:val="21"/>
                <w:szCs w:val="21"/>
                <w:lang w:val="en-US" w:eastAsia="zh-CN" w:bidi="ar-SA"/>
              </w:rPr>
            </w:pPr>
            <w:r>
              <w:rPr>
                <w:rFonts w:hint="eastAsia" w:cs="Times New Roman"/>
                <w:color w:val="000000" w:themeColor="text1"/>
                <w:sz w:val="24"/>
                <w:szCs w:val="24"/>
                <w:lang w:val="en-US" w:eastAsia="zh-CN"/>
                <w14:textFill>
                  <w14:solidFill>
                    <w14:schemeClr w14:val="tx1"/>
                  </w14:solidFill>
                </w14:textFill>
              </w:rPr>
              <w:t>本公司的危废贮存场所张贴了标识标牌，地面做了防渗、防漏、防腐措施，亦做到了防风、防雨、防晒。</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表</w:t>
            </w:r>
            <w:r>
              <w:rPr>
                <w:rFonts w:hint="eastAsia" w:cs="Times New Roman"/>
                <w:b/>
                <w:bCs/>
                <w:kern w:val="2"/>
                <w:sz w:val="21"/>
                <w:szCs w:val="21"/>
                <w:lang w:val="en-US" w:eastAsia="zh-CN" w:bidi="ar-SA"/>
              </w:rPr>
              <w:t>7-7</w:t>
            </w:r>
            <w:r>
              <w:rPr>
                <w:rFonts w:hint="default" w:ascii="Times New Roman" w:hAnsi="Times New Roman" w:eastAsia="宋体" w:cs="Times New Roman"/>
                <w:b/>
                <w:bCs/>
                <w:kern w:val="2"/>
                <w:sz w:val="21"/>
                <w:szCs w:val="21"/>
                <w:lang w:val="en-US" w:eastAsia="zh-CN" w:bidi="ar-SA"/>
              </w:rPr>
              <w:t xml:space="preserve">  固体废物</w:t>
            </w:r>
            <w:r>
              <w:rPr>
                <w:rFonts w:hint="eastAsia" w:cs="Times New Roman"/>
                <w:b/>
                <w:bCs/>
                <w:kern w:val="2"/>
                <w:sz w:val="21"/>
                <w:szCs w:val="21"/>
                <w:lang w:val="en-US" w:eastAsia="zh-CN" w:bidi="ar-SA"/>
              </w:rPr>
              <w:t>处置情况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
              <w:gridCol w:w="1099"/>
              <w:gridCol w:w="1261"/>
              <w:gridCol w:w="1124"/>
              <w:gridCol w:w="1007"/>
              <w:gridCol w:w="1008"/>
              <w:gridCol w:w="1207"/>
              <w:gridCol w:w="1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644"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固废名称</w:t>
                  </w:r>
                </w:p>
              </w:tc>
              <w:tc>
                <w:tcPr>
                  <w:tcW w:w="73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产生工序</w:t>
                  </w:r>
                </w:p>
              </w:tc>
              <w:tc>
                <w:tcPr>
                  <w:tcW w:w="65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属性</w:t>
                  </w:r>
                </w:p>
              </w:tc>
              <w:tc>
                <w:tcPr>
                  <w:tcW w:w="5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eastAsia" w:ascii="Times New Roman" w:hAnsi="Times New Roman" w:eastAsia="宋体" w:cs="Times New Roman"/>
                      <w:b/>
                      <w:bCs/>
                      <w:sz w:val="21"/>
                      <w:szCs w:val="21"/>
                      <w:lang w:val="en-US" w:eastAsia="zh-CN"/>
                    </w:rPr>
                    <w:t>环评预测产生量</w:t>
                  </w:r>
                  <w:r>
                    <w:rPr>
                      <w:rFonts w:hint="default" w:ascii="Times New Roman" w:hAnsi="Times New Roman" w:cs="Times New Roman"/>
                      <w:b/>
                      <w:bCs/>
                      <w:sz w:val="21"/>
                      <w:szCs w:val="21"/>
                    </w:rPr>
                    <w:t>（t/a）</w:t>
                  </w:r>
                </w:p>
              </w:tc>
              <w:tc>
                <w:tcPr>
                  <w:tcW w:w="5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2023.02~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2023.04产生量（t）</w:t>
                  </w:r>
                </w:p>
              </w:tc>
              <w:tc>
                <w:tcPr>
                  <w:tcW w:w="7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bCs/>
                      <w:color w:val="auto"/>
                      <w:sz w:val="21"/>
                      <w:szCs w:val="21"/>
                      <w:lang w:val="en-US" w:eastAsia="zh-CN"/>
                    </w:rPr>
                  </w:pPr>
                  <w:r>
                    <w:rPr>
                      <w:rFonts w:hint="eastAsia" w:cs="Times New Roman"/>
                      <w:b/>
                      <w:bCs/>
                      <w:color w:val="auto"/>
                      <w:sz w:val="21"/>
                      <w:szCs w:val="21"/>
                      <w:lang w:val="en-US" w:eastAsia="zh-CN"/>
                    </w:rPr>
                    <w:t>折算实际</w:t>
                  </w:r>
                  <w:r>
                    <w:rPr>
                      <w:rFonts w:hint="default" w:ascii="Times New Roman" w:hAnsi="Times New Roman" w:cs="Times New Roman"/>
                      <w:b/>
                      <w:bCs/>
                      <w:color w:val="auto"/>
                      <w:sz w:val="21"/>
                      <w:szCs w:val="21"/>
                    </w:rPr>
                    <w:t>产生量（t/a）</w:t>
                  </w:r>
                </w:p>
              </w:tc>
              <w:tc>
                <w:tcPr>
                  <w:tcW w:w="83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处理情况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1</w:t>
                  </w:r>
                </w:p>
              </w:tc>
              <w:tc>
                <w:tcPr>
                  <w:tcW w:w="644"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lang w:eastAsia="zh-CN"/>
                    </w:rPr>
                    <w:t>废</w:t>
                  </w:r>
                  <w:r>
                    <w:rPr>
                      <w:b w:val="0"/>
                      <w:bCs w:val="0"/>
                      <w:szCs w:val="21"/>
                    </w:rPr>
                    <w:t>包装材料</w:t>
                  </w:r>
                </w:p>
              </w:tc>
              <w:tc>
                <w:tcPr>
                  <w:tcW w:w="738"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lang w:eastAsia="zh-CN"/>
                    </w:rPr>
                    <w:t>原料拆包</w:t>
                  </w:r>
                </w:p>
              </w:tc>
              <w:tc>
                <w:tcPr>
                  <w:tcW w:w="659" w:type="pct"/>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591"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0.1</w:t>
                  </w:r>
                </w:p>
              </w:tc>
              <w:tc>
                <w:tcPr>
                  <w:tcW w:w="5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0.025</w:t>
                  </w:r>
                </w:p>
              </w:tc>
              <w:tc>
                <w:tcPr>
                  <w:tcW w:w="1207" w:type="dxa"/>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0.1</w:t>
                  </w:r>
                </w:p>
              </w:tc>
              <w:tc>
                <w:tcPr>
                  <w:tcW w:w="83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kern w:val="0"/>
                      <w:szCs w:val="21"/>
                    </w:rPr>
                    <w:t>收集后由物资公司回收综合利用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2</w:t>
                  </w:r>
                </w:p>
              </w:tc>
              <w:tc>
                <w:tcPr>
                  <w:tcW w:w="644"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b w:val="0"/>
                      <w:bCs w:val="0"/>
                      <w:szCs w:val="21"/>
                    </w:rPr>
                    <w:t>边角料</w:t>
                  </w:r>
                </w:p>
              </w:tc>
              <w:tc>
                <w:tcPr>
                  <w:tcW w:w="738"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裁剪、剥皮</w:t>
                  </w:r>
                </w:p>
              </w:tc>
              <w:tc>
                <w:tcPr>
                  <w:tcW w:w="659" w:type="pct"/>
                  <w:noWrap w:val="0"/>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591" w:type="pct"/>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0.05</w:t>
                  </w:r>
                </w:p>
              </w:tc>
              <w:tc>
                <w:tcPr>
                  <w:tcW w:w="52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0.0125</w:t>
                  </w:r>
                </w:p>
              </w:tc>
              <w:tc>
                <w:tcPr>
                  <w:tcW w:w="1207" w:type="dxa"/>
                  <w:noWrap w:val="0"/>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0.05</w:t>
                  </w:r>
                </w:p>
              </w:tc>
              <w:tc>
                <w:tcPr>
                  <w:tcW w:w="839" w:type="pct"/>
                  <w:vMerge w:val="continue"/>
                  <w:noWrap w:val="0"/>
                  <w:vAlign w:val="center"/>
                </w:tcPr>
                <w:p>
                  <w:pPr>
                    <w:spacing w:line="220" w:lineRule="exact"/>
                    <w:ind w:left="-105" w:leftChars="-50" w:right="-105" w:rightChars="-50"/>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3</w:t>
                  </w:r>
                </w:p>
              </w:tc>
              <w:tc>
                <w:tcPr>
                  <w:tcW w:w="644"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rPr>
                    <w:t>收集尘</w:t>
                  </w:r>
                </w:p>
              </w:tc>
              <w:tc>
                <w:tcPr>
                  <w:tcW w:w="738"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lang w:eastAsia="zh-CN"/>
                    </w:rPr>
                    <w:t>废气处理</w:t>
                  </w:r>
                </w:p>
              </w:tc>
              <w:tc>
                <w:tcPr>
                  <w:tcW w:w="659" w:type="pct"/>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591"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0.0</w:t>
                  </w:r>
                  <w:r>
                    <w:rPr>
                      <w:rFonts w:hint="eastAsia" w:ascii="Times New Roman" w:hAnsi="Times New Roman" w:cs="Times New Roman"/>
                      <w:b w:val="0"/>
                      <w:bCs w:val="0"/>
                      <w:szCs w:val="21"/>
                      <w:lang w:val="en-US" w:eastAsia="zh-CN"/>
                    </w:rPr>
                    <w:t>31</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0.00775</w:t>
                  </w:r>
                </w:p>
              </w:tc>
              <w:tc>
                <w:tcPr>
                  <w:tcW w:w="1207" w:type="dxa"/>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0.0</w:t>
                  </w:r>
                  <w:r>
                    <w:rPr>
                      <w:rFonts w:hint="eastAsia" w:ascii="Times New Roman" w:hAnsi="Times New Roman" w:cs="Times New Roman"/>
                      <w:b w:val="0"/>
                      <w:bCs w:val="0"/>
                      <w:color w:val="auto"/>
                      <w:szCs w:val="21"/>
                      <w:lang w:val="en-US" w:eastAsia="zh-CN"/>
                    </w:rPr>
                    <w:t>31</w:t>
                  </w:r>
                </w:p>
              </w:tc>
              <w:tc>
                <w:tcPr>
                  <w:tcW w:w="839" w:type="pct"/>
                  <w:vMerge w:val="continue"/>
                  <w:vAlign w:val="center"/>
                </w:tcPr>
                <w:p>
                  <w:pPr>
                    <w:spacing w:line="220" w:lineRule="exact"/>
                    <w:ind w:left="-105" w:leftChars="-50" w:right="-105" w:rightChars="-50"/>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4</w:t>
                  </w:r>
                </w:p>
              </w:tc>
              <w:tc>
                <w:tcPr>
                  <w:tcW w:w="644"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b w:val="0"/>
                      <w:bCs w:val="0"/>
                      <w:szCs w:val="21"/>
                    </w:rPr>
                    <w:t>废</w:t>
                  </w:r>
                  <w:r>
                    <w:rPr>
                      <w:rFonts w:hint="eastAsia"/>
                      <w:b w:val="0"/>
                      <w:bCs w:val="0"/>
                      <w:szCs w:val="21"/>
                    </w:rPr>
                    <w:t>润滑油</w:t>
                  </w:r>
                </w:p>
              </w:tc>
              <w:tc>
                <w:tcPr>
                  <w:tcW w:w="738"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设备润滑</w:t>
                  </w:r>
                </w:p>
              </w:tc>
              <w:tc>
                <w:tcPr>
                  <w:tcW w:w="659" w:type="pct"/>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591"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0.02</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0.005</w:t>
                  </w:r>
                </w:p>
              </w:tc>
              <w:tc>
                <w:tcPr>
                  <w:tcW w:w="1207" w:type="dxa"/>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0.02</w:t>
                  </w:r>
                </w:p>
              </w:tc>
              <w:tc>
                <w:tcPr>
                  <w:tcW w:w="83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szCs w:val="21"/>
                    </w:rPr>
                    <w:t>企业厂内设置贮存场所，委托</w:t>
                  </w:r>
                  <w:r>
                    <w:rPr>
                      <w:rFonts w:hint="eastAsia"/>
                      <w:color w:val="auto"/>
                      <w:szCs w:val="21"/>
                      <w:lang w:eastAsia="zh-CN"/>
                    </w:rPr>
                    <w:t>丽水市民康医疗废物处理有限公司</w:t>
                  </w:r>
                  <w:r>
                    <w:rPr>
                      <w:szCs w:val="21"/>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5</w:t>
                  </w:r>
                </w:p>
              </w:tc>
              <w:tc>
                <w:tcPr>
                  <w:tcW w:w="644"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b w:val="0"/>
                      <w:bCs w:val="0"/>
                      <w:szCs w:val="21"/>
                    </w:rPr>
                    <w:t>废</w:t>
                  </w:r>
                  <w:r>
                    <w:rPr>
                      <w:rFonts w:hint="eastAsia"/>
                      <w:b w:val="0"/>
                      <w:bCs w:val="0"/>
                      <w:szCs w:val="21"/>
                    </w:rPr>
                    <w:t>润滑油</w:t>
                  </w:r>
                  <w:r>
                    <w:rPr>
                      <w:b w:val="0"/>
                      <w:bCs w:val="0"/>
                      <w:szCs w:val="21"/>
                    </w:rPr>
                    <w:t>包装桶</w:t>
                  </w:r>
                </w:p>
              </w:tc>
              <w:tc>
                <w:tcPr>
                  <w:tcW w:w="738"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b w:val="0"/>
                      <w:bCs w:val="0"/>
                      <w:szCs w:val="21"/>
                    </w:rPr>
                    <w:t>原料使用</w:t>
                  </w:r>
                </w:p>
              </w:tc>
              <w:tc>
                <w:tcPr>
                  <w:tcW w:w="659" w:type="pct"/>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591"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0.01</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0.0025</w:t>
                  </w:r>
                </w:p>
              </w:tc>
              <w:tc>
                <w:tcPr>
                  <w:tcW w:w="1207" w:type="dxa"/>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0.01</w:t>
                  </w:r>
                </w:p>
              </w:tc>
              <w:tc>
                <w:tcPr>
                  <w:tcW w:w="839" w:type="pct"/>
                  <w:vMerge w:val="continue"/>
                  <w:vAlign w:val="center"/>
                </w:tcPr>
                <w:p>
                  <w:pPr>
                    <w:spacing w:line="220" w:lineRule="exact"/>
                    <w:ind w:left="-105" w:leftChars="-50" w:right="-105" w:rightChars="-50"/>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6</w:t>
                  </w:r>
                </w:p>
              </w:tc>
              <w:tc>
                <w:tcPr>
                  <w:tcW w:w="644"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rPr>
                    <w:t>含油抹布</w:t>
                  </w:r>
                </w:p>
              </w:tc>
              <w:tc>
                <w:tcPr>
                  <w:tcW w:w="738"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设备维护</w:t>
                  </w:r>
                </w:p>
              </w:tc>
              <w:tc>
                <w:tcPr>
                  <w:tcW w:w="659" w:type="pct"/>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591"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0.01</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0.0025</w:t>
                  </w:r>
                </w:p>
              </w:tc>
              <w:tc>
                <w:tcPr>
                  <w:tcW w:w="1207" w:type="dxa"/>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0.01</w:t>
                  </w:r>
                </w:p>
              </w:tc>
              <w:tc>
                <w:tcPr>
                  <w:tcW w:w="839" w:type="pct"/>
                  <w:vMerge w:val="continue"/>
                  <w:vAlign w:val="center"/>
                </w:tcPr>
                <w:p>
                  <w:pPr>
                    <w:spacing w:line="220" w:lineRule="exact"/>
                    <w:ind w:left="-105" w:leftChars="-50" w:right="-105" w:rightChars="-50"/>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7</w:t>
                  </w:r>
                </w:p>
              </w:tc>
              <w:tc>
                <w:tcPr>
                  <w:tcW w:w="644"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rPr>
                    <w:t>废活性炭</w:t>
                  </w:r>
                </w:p>
              </w:tc>
              <w:tc>
                <w:tcPr>
                  <w:tcW w:w="738"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废气处理</w:t>
                  </w:r>
                </w:p>
              </w:tc>
              <w:tc>
                <w:tcPr>
                  <w:tcW w:w="659" w:type="pct"/>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危险废物</w:t>
                  </w:r>
                </w:p>
              </w:tc>
              <w:tc>
                <w:tcPr>
                  <w:tcW w:w="591"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0.16</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0.04</w:t>
                  </w:r>
                </w:p>
              </w:tc>
              <w:tc>
                <w:tcPr>
                  <w:tcW w:w="1207" w:type="dxa"/>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0.16</w:t>
                  </w:r>
                </w:p>
              </w:tc>
              <w:tc>
                <w:tcPr>
                  <w:tcW w:w="839" w:type="pct"/>
                  <w:vMerge w:val="continue"/>
                  <w:vAlign w:val="center"/>
                </w:tcPr>
                <w:p>
                  <w:pPr>
                    <w:spacing w:line="220" w:lineRule="exact"/>
                    <w:ind w:left="-105" w:leftChars="-50" w:right="-105" w:rightChars="-50"/>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8</w:t>
                  </w:r>
                </w:p>
              </w:tc>
              <w:tc>
                <w:tcPr>
                  <w:tcW w:w="644"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Cs w:val="21"/>
                    </w:rPr>
                    <w:t>滤渣</w:t>
                  </w:r>
                </w:p>
              </w:tc>
              <w:tc>
                <w:tcPr>
                  <w:tcW w:w="738"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Cs w:val="21"/>
                    </w:rPr>
                    <w:t>超声波清洗</w:t>
                  </w:r>
                </w:p>
              </w:tc>
              <w:tc>
                <w:tcPr>
                  <w:tcW w:w="659" w:type="pct"/>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591"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0.01</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0.0025</w:t>
                  </w:r>
                </w:p>
              </w:tc>
              <w:tc>
                <w:tcPr>
                  <w:tcW w:w="1207" w:type="dxa"/>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0.01</w:t>
                  </w:r>
                </w:p>
              </w:tc>
              <w:tc>
                <w:tcPr>
                  <w:tcW w:w="83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3"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val="en-US" w:eastAsia="zh-CN"/>
                    </w:rPr>
                    <w:t>9</w:t>
                  </w:r>
                </w:p>
              </w:tc>
              <w:tc>
                <w:tcPr>
                  <w:tcW w:w="644"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b w:val="0"/>
                      <w:bCs w:val="0"/>
                      <w:szCs w:val="21"/>
                    </w:rPr>
                    <w:t>生活垃圾</w:t>
                  </w:r>
                </w:p>
              </w:tc>
              <w:tc>
                <w:tcPr>
                  <w:tcW w:w="738"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b w:val="0"/>
                      <w:bCs w:val="0"/>
                      <w:szCs w:val="21"/>
                    </w:rPr>
                    <w:t>员工办公</w:t>
                  </w:r>
                </w:p>
              </w:tc>
              <w:tc>
                <w:tcPr>
                  <w:tcW w:w="659" w:type="pct"/>
                  <w:vAlign w:val="center"/>
                </w:tcPr>
                <w:p>
                  <w:pPr>
                    <w:keepNext w:val="0"/>
                    <w:keepLines w:val="0"/>
                    <w:pageBreakBefore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一般固废</w:t>
                  </w:r>
                </w:p>
              </w:tc>
              <w:tc>
                <w:tcPr>
                  <w:tcW w:w="591" w:type="pct"/>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val="0"/>
                      <w:bCs w:val="0"/>
                      <w:szCs w:val="21"/>
                      <w:lang w:val="en-US" w:eastAsia="zh-CN"/>
                    </w:rPr>
                  </w:pPr>
                  <w:r>
                    <w:rPr>
                      <w:rFonts w:hint="eastAsia" w:ascii="Times New Roman" w:hAnsi="Times New Roman" w:cs="Times New Roman"/>
                      <w:b w:val="0"/>
                      <w:bCs w:val="0"/>
                      <w:szCs w:val="21"/>
                      <w:lang w:eastAsia="zh-CN"/>
                    </w:rPr>
                    <w:t>7.5</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1.875</w:t>
                  </w:r>
                </w:p>
              </w:tc>
              <w:tc>
                <w:tcPr>
                  <w:tcW w:w="1207" w:type="dxa"/>
                  <w:vAlign w:val="center"/>
                </w:tcPr>
                <w:p>
                  <w:pPr>
                    <w:pStyle w:val="8"/>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cs="Times New Roman"/>
                      <w:color w:val="auto"/>
                      <w:sz w:val="21"/>
                      <w:szCs w:val="21"/>
                      <w:lang w:val="en-US" w:eastAsia="zh-CN"/>
                    </w:rPr>
                  </w:pPr>
                  <w:r>
                    <w:rPr>
                      <w:rFonts w:hint="eastAsia" w:ascii="Times New Roman" w:hAnsi="Times New Roman" w:cs="Times New Roman"/>
                      <w:b w:val="0"/>
                      <w:bCs w:val="0"/>
                      <w:color w:val="auto"/>
                      <w:szCs w:val="21"/>
                      <w:lang w:eastAsia="zh-CN"/>
                    </w:rPr>
                    <w:t>7.5</w:t>
                  </w:r>
                </w:p>
              </w:tc>
              <w:tc>
                <w:tcPr>
                  <w:tcW w:w="839" w:type="pct"/>
                  <w:vMerge w:val="continue"/>
                  <w:vAlign w:val="center"/>
                </w:tcPr>
                <w:p>
                  <w:pPr>
                    <w:spacing w:line="220" w:lineRule="exact"/>
                    <w:ind w:left="-105" w:leftChars="-50" w:right="-105" w:rightChars="-50"/>
                    <w:jc w:val="center"/>
                    <w:rPr>
                      <w:rFonts w:hint="default" w:ascii="Times New Roman" w:hAnsi="Times New Roman" w:cs="Times New Roman"/>
                      <w:sz w:val="21"/>
                      <w:szCs w:val="21"/>
                    </w:rPr>
                  </w:pPr>
                </w:p>
              </w:tc>
            </w:tr>
          </w:tbl>
          <w:p>
            <w:pPr>
              <w:keepNext w:val="0"/>
              <w:keepLines w:val="0"/>
              <w:pageBreakBefore w:val="0"/>
              <w:widowControl w:val="0"/>
              <w:numPr>
                <w:ilvl w:val="0"/>
                <w:numId w:val="0"/>
              </w:numPr>
              <w:tabs>
                <w:tab w:val="left" w:pos="646"/>
              </w:tabs>
              <w:kinsoku/>
              <w:wordWrap/>
              <w:overflowPunct/>
              <w:topLinePunct w:val="0"/>
              <w:autoSpaceDE/>
              <w:autoSpaceDN/>
              <w:bidi w:val="0"/>
              <w:adjustRightInd/>
              <w:snapToGrid/>
              <w:spacing w:line="300" w:lineRule="auto"/>
              <w:ind w:leftChars="0"/>
              <w:textAlignment w:val="auto"/>
              <w:rPr>
                <w:rFonts w:hint="eastAsia"/>
                <w:b/>
                <w:bCs/>
                <w:color w:val="auto"/>
                <w:kern w:val="0"/>
                <w:sz w:val="24"/>
                <w:szCs w:val="24"/>
                <w:lang w:val="en-US" w:eastAsia="zh-CN"/>
              </w:rPr>
            </w:pPr>
          </w:p>
          <w:p>
            <w:pPr>
              <w:keepNext w:val="0"/>
              <w:keepLines w:val="0"/>
              <w:pageBreakBefore w:val="0"/>
              <w:widowControl w:val="0"/>
              <w:numPr>
                <w:ilvl w:val="0"/>
                <w:numId w:val="0"/>
              </w:numPr>
              <w:tabs>
                <w:tab w:val="left" w:pos="646"/>
              </w:tabs>
              <w:kinsoku/>
              <w:wordWrap/>
              <w:overflowPunct/>
              <w:topLinePunct w:val="0"/>
              <w:autoSpaceDE/>
              <w:autoSpaceDN/>
              <w:bidi w:val="0"/>
              <w:adjustRightInd/>
              <w:snapToGrid/>
              <w:spacing w:line="300" w:lineRule="auto"/>
              <w:ind w:leftChars="0"/>
              <w:textAlignment w:val="auto"/>
              <w:rPr>
                <w:b/>
                <w:bCs/>
                <w:color w:val="auto"/>
                <w:kern w:val="0"/>
                <w:sz w:val="24"/>
                <w:szCs w:val="24"/>
              </w:rPr>
            </w:pPr>
            <w:r>
              <w:rPr>
                <w:rFonts w:hint="eastAsia"/>
                <w:b/>
                <w:bCs/>
                <w:color w:val="auto"/>
                <w:kern w:val="0"/>
                <w:sz w:val="24"/>
                <w:szCs w:val="24"/>
                <w:lang w:val="en-US" w:eastAsia="zh-CN"/>
              </w:rPr>
              <w:t>三、</w:t>
            </w:r>
            <w:r>
              <w:rPr>
                <w:rFonts w:ascii="Times New Roman" w:hAnsi="Times New Roman" w:eastAsiaTheme="minorEastAsia"/>
                <w:b/>
                <w:bCs/>
                <w:kern w:val="0"/>
                <w:sz w:val="24"/>
                <w:szCs w:val="24"/>
              </w:rPr>
              <w:t>污染物排放总量核算</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rPr>
            </w:pPr>
            <w:r>
              <w:rPr>
                <w:rFonts w:hint="default" w:ascii="Times New Roman" w:hAnsi="Times New Roman" w:eastAsia="宋体" w:cs="Times New Roman"/>
                <w:sz w:val="24"/>
                <w:szCs w:val="24"/>
                <w:lang w:val="en-US" w:eastAsia="zh-CN"/>
              </w:rPr>
              <w:t>本项目</w:t>
            </w:r>
            <w:r>
              <w:rPr>
                <w:rFonts w:hint="eastAsia" w:cs="Times New Roman"/>
                <w:sz w:val="24"/>
                <w:szCs w:val="24"/>
                <w:lang w:val="en-US" w:eastAsia="zh-CN"/>
              </w:rPr>
              <w:t>白班8小时制</w:t>
            </w:r>
            <w:r>
              <w:rPr>
                <w:rFonts w:hint="default" w:ascii="Times New Roman" w:hAnsi="Times New Roman" w:eastAsia="宋体" w:cs="Times New Roman"/>
                <w:sz w:val="24"/>
                <w:szCs w:val="24"/>
                <w:lang w:val="en-US" w:eastAsia="zh-CN"/>
              </w:rPr>
              <w:t>，年工作</w:t>
            </w:r>
            <w:r>
              <w:rPr>
                <w:rFonts w:hint="eastAsia" w:cs="Times New Roman"/>
                <w:sz w:val="24"/>
                <w:szCs w:val="24"/>
                <w:lang w:val="en-US" w:eastAsia="zh-CN"/>
              </w:rPr>
              <w:t>约3</w:t>
            </w:r>
            <w:r>
              <w:rPr>
                <w:rFonts w:hint="default" w:ascii="Times New Roman" w:hAnsi="Times New Roman" w:eastAsia="宋体" w:cs="Times New Roman"/>
                <w:sz w:val="24"/>
                <w:szCs w:val="24"/>
                <w:lang w:val="en-US" w:eastAsia="zh-CN"/>
              </w:rPr>
              <w:t>00天</w:t>
            </w:r>
            <w:r>
              <w:rPr>
                <w:rFonts w:hint="eastAsia" w:cs="Times New Roman"/>
                <w:sz w:val="24"/>
                <w:szCs w:val="24"/>
                <w:lang w:val="en-US" w:eastAsia="zh-CN"/>
              </w:rPr>
              <w:t>；生产车间实际工作时间约为1500h</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color w:val="auto"/>
                <w:sz w:val="24"/>
                <w:szCs w:val="24"/>
                <w:lang w:val="en-US" w:eastAsia="zh-CN"/>
              </w:rPr>
              <w:t>本项目</w:t>
            </w:r>
            <w:r>
              <w:rPr>
                <w:rFonts w:hint="eastAsia" w:cs="Times New Roman"/>
                <w:color w:val="auto"/>
                <w:sz w:val="24"/>
                <w:szCs w:val="24"/>
                <w:lang w:val="en-US" w:eastAsia="zh-CN"/>
              </w:rPr>
              <w:t>生活</w:t>
            </w:r>
            <w:r>
              <w:rPr>
                <w:rFonts w:hint="default" w:ascii="Times New Roman" w:hAnsi="Times New Roman" w:eastAsia="宋体" w:cs="Times New Roman"/>
                <w:color w:val="auto"/>
                <w:sz w:val="24"/>
                <w:szCs w:val="24"/>
                <w:lang w:val="en-US" w:eastAsia="zh-CN"/>
              </w:rPr>
              <w:t>用水量约为</w:t>
            </w:r>
            <w:r>
              <w:rPr>
                <w:rFonts w:hint="eastAsia" w:cs="Times New Roman"/>
                <w:color w:val="auto"/>
                <w:sz w:val="24"/>
                <w:szCs w:val="24"/>
                <w:lang w:val="en-US" w:eastAsia="zh-CN"/>
              </w:rPr>
              <w:t>724</w:t>
            </w:r>
            <w:r>
              <w:rPr>
                <w:rFonts w:hint="default" w:ascii="Times New Roman" w:hAnsi="Times New Roman" w:eastAsia="宋体" w:cs="Times New Roman"/>
                <w:color w:val="auto"/>
                <w:sz w:val="24"/>
                <w:szCs w:val="24"/>
                <w:lang w:val="en-US" w:eastAsia="zh-CN"/>
              </w:rPr>
              <w:t>吨，排污系数按0.</w:t>
            </w:r>
            <w:r>
              <w:rPr>
                <w:rFonts w:hint="eastAsia" w:cs="Times New Roman"/>
                <w:color w:val="auto"/>
                <w:sz w:val="24"/>
                <w:szCs w:val="24"/>
                <w:lang w:val="en-US" w:eastAsia="zh-CN"/>
              </w:rPr>
              <w:t>85</w:t>
            </w:r>
            <w:r>
              <w:rPr>
                <w:rFonts w:hint="default" w:ascii="Times New Roman" w:hAnsi="Times New Roman" w:eastAsia="宋体" w:cs="Times New Roman"/>
                <w:color w:val="auto"/>
                <w:sz w:val="24"/>
                <w:szCs w:val="24"/>
                <w:lang w:val="en-US" w:eastAsia="zh-CN"/>
              </w:rPr>
              <w:t>计，则年生活污水排放量约为</w:t>
            </w:r>
            <w:r>
              <w:rPr>
                <w:rFonts w:hint="eastAsia" w:cs="Times New Roman"/>
                <w:color w:val="auto"/>
                <w:sz w:val="24"/>
                <w:szCs w:val="24"/>
                <w:lang w:val="en-US" w:eastAsia="zh-CN"/>
              </w:rPr>
              <w:t>615.4</w:t>
            </w:r>
            <w:r>
              <w:rPr>
                <w:rFonts w:hint="default" w:ascii="Times New Roman" w:hAnsi="Times New Roman" w:eastAsia="宋体" w:cs="Times New Roman"/>
                <w:color w:val="auto"/>
                <w:sz w:val="24"/>
                <w:szCs w:val="24"/>
                <w:lang w:val="en-US" w:eastAsia="zh-CN"/>
              </w:rPr>
              <w:t>吨</w:t>
            </w:r>
            <w:r>
              <w:rPr>
                <w:rFonts w:hint="default" w:ascii="Times New Roman" w:hAnsi="Times New Roman" w:eastAsia="宋体" w:cs="Times New Roman"/>
                <w:sz w:val="24"/>
                <w:szCs w:val="24"/>
                <w:lang w:val="en-US" w:eastAsia="zh-CN"/>
              </w:rPr>
              <w:t>。</w:t>
            </w:r>
          </w:p>
          <w:p>
            <w:pPr>
              <w:pStyle w:val="31"/>
              <w:keepNext w:val="0"/>
              <w:keepLines w:val="0"/>
              <w:pageBreakBefore w:val="0"/>
              <w:widowControl w:val="0"/>
              <w:kinsoku/>
              <w:wordWrap/>
              <w:overflowPunct/>
              <w:topLinePunct w:val="0"/>
              <w:autoSpaceDE/>
              <w:autoSpaceDN/>
              <w:bidi w:val="0"/>
              <w:adjustRightInd/>
              <w:snapToGrid/>
              <w:spacing w:line="276" w:lineRule="auto"/>
              <w:jc w:val="center"/>
              <w:textAlignment w:val="auto"/>
              <w:rPr>
                <w:rFonts w:ascii="Times New Roman" w:hAnsi="Times New Roman" w:eastAsiaTheme="minorEastAsia"/>
                <w:b/>
                <w:bCs/>
                <w:color w:val="auto"/>
                <w:kern w:val="0"/>
              </w:rPr>
            </w:pPr>
            <w:r>
              <w:rPr>
                <w:rFonts w:ascii="Times New Roman" w:hAnsi="Times New Roman" w:eastAsiaTheme="minorEastAsia"/>
                <w:b/>
                <w:bCs/>
                <w:color w:val="auto"/>
                <w:kern w:val="0"/>
                <w:sz w:val="21"/>
                <w:szCs w:val="21"/>
              </w:rPr>
              <w:t>表7-</w:t>
            </w:r>
            <w:r>
              <w:rPr>
                <w:rFonts w:hint="eastAsia" w:eastAsiaTheme="minorEastAsia"/>
                <w:b/>
                <w:bCs/>
                <w:color w:val="auto"/>
                <w:kern w:val="0"/>
                <w:sz w:val="21"/>
                <w:szCs w:val="21"/>
                <w:lang w:val="en-US" w:eastAsia="zh-CN"/>
              </w:rPr>
              <w:t>8</w:t>
            </w:r>
            <w:r>
              <w:rPr>
                <w:rFonts w:ascii="Times New Roman" w:hAnsi="Times New Roman" w:eastAsiaTheme="minorEastAsia"/>
                <w:b/>
                <w:bCs/>
                <w:color w:val="auto"/>
                <w:kern w:val="0"/>
                <w:sz w:val="21"/>
                <w:szCs w:val="21"/>
              </w:rPr>
              <w:t xml:space="preserve"> 总量控制指标</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1"/>
              <w:gridCol w:w="1639"/>
              <w:gridCol w:w="1639"/>
              <w:gridCol w:w="3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 w:val="21"/>
                      <w:szCs w:val="21"/>
                      <w:vertAlign w:val="baseline"/>
                    </w:rPr>
                  </w:pPr>
                  <w:r>
                    <w:rPr>
                      <w:rFonts w:hint="default" w:ascii="Times New Roman" w:hAnsi="Times New Roman" w:eastAsia="宋体" w:cs="Times New Roman"/>
                      <w:b/>
                      <w:bCs/>
                      <w:color w:val="auto"/>
                      <w:sz w:val="21"/>
                      <w:szCs w:val="21"/>
                    </w:rPr>
                    <w:t>控制项目</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0"/>
                      <w:sz w:val="21"/>
                      <w:szCs w:val="21"/>
                      <w:vertAlign w:val="baseline"/>
                      <w:lang w:val="en-US" w:eastAsia="zh-CN"/>
                    </w:rPr>
                  </w:pPr>
                  <w:r>
                    <w:rPr>
                      <w:rFonts w:hint="default" w:ascii="Times New Roman" w:hAnsi="Times New Roman" w:eastAsia="宋体" w:cs="Times New Roman"/>
                      <w:b/>
                      <w:bCs/>
                      <w:color w:val="auto"/>
                      <w:sz w:val="21"/>
                      <w:szCs w:val="21"/>
                    </w:rPr>
                    <w:t>环评预测值</w:t>
                  </w:r>
                  <w:r>
                    <w:rPr>
                      <w:rFonts w:hint="eastAsia" w:cs="Times New Roman"/>
                      <w:b/>
                      <w:bCs/>
                      <w:color w:val="auto"/>
                      <w:sz w:val="21"/>
                      <w:szCs w:val="21"/>
                      <w:lang w:val="en-US" w:eastAsia="zh-CN"/>
                    </w:rPr>
                    <w:t>/批复值</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 w:val="21"/>
                      <w:szCs w:val="21"/>
                      <w:vertAlign w:val="baseline"/>
                    </w:rPr>
                  </w:pPr>
                  <w:r>
                    <w:rPr>
                      <w:rFonts w:hint="default" w:ascii="Times New Roman" w:hAnsi="Times New Roman" w:eastAsia="宋体" w:cs="Times New Roman"/>
                      <w:b/>
                      <w:bCs/>
                      <w:color w:val="auto"/>
                      <w:sz w:val="21"/>
                      <w:szCs w:val="21"/>
                    </w:rPr>
                    <w:t>实际排放量</w:t>
                  </w:r>
                </w:p>
              </w:tc>
              <w:tc>
                <w:tcPr>
                  <w:tcW w:w="21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 w:val="21"/>
                      <w:szCs w:val="21"/>
                      <w:vertAlign w:val="baseline"/>
                    </w:rPr>
                  </w:pPr>
                  <w:r>
                    <w:rPr>
                      <w:rFonts w:hint="default" w:ascii="Times New Roman" w:hAnsi="Times New Roman" w:eastAsia="宋体" w:cs="Times New Roman"/>
                      <w:b/>
                      <w:bCs/>
                      <w:color w:val="auto"/>
                      <w:sz w:val="21"/>
                      <w:szCs w:val="21"/>
                    </w:rPr>
                    <w:t>计算公式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kern w:val="0"/>
                      <w:sz w:val="21"/>
                      <w:szCs w:val="21"/>
                      <w:vertAlign w:val="baseline"/>
                      <w:lang w:val="en-US"/>
                    </w:rPr>
                  </w:pPr>
                  <w:r>
                    <w:rPr>
                      <w:rFonts w:hint="eastAsia" w:hAnsi="宋体"/>
                      <w:color w:val="auto"/>
                      <w:sz w:val="21"/>
                      <w:szCs w:val="21"/>
                      <w:lang w:val="en-US" w:eastAsia="zh-CN"/>
                    </w:rPr>
                    <w:t>COD</w:t>
                  </w:r>
                  <w:r>
                    <w:rPr>
                      <w:rFonts w:hint="eastAsia" w:hAnsi="宋体"/>
                      <w:color w:val="auto"/>
                      <w:sz w:val="21"/>
                      <w:szCs w:val="21"/>
                      <w:vertAlign w:val="subscript"/>
                      <w:lang w:val="en-US" w:eastAsia="zh-CN"/>
                    </w:rPr>
                    <w:t>Cr</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 w:val="21"/>
                      <w:szCs w:val="21"/>
                      <w:vertAlign w:val="baseline"/>
                    </w:rPr>
                  </w:pPr>
                  <w:r>
                    <w:rPr>
                      <w:rFonts w:hint="eastAsia" w:cs="Times New Roman"/>
                      <w:color w:val="auto"/>
                      <w:sz w:val="21"/>
                      <w:szCs w:val="21"/>
                      <w:lang w:val="en-US" w:eastAsia="zh-CN"/>
                    </w:rPr>
                    <w:t>0.032</w:t>
                  </w:r>
                  <w:r>
                    <w:rPr>
                      <w:rFonts w:hint="default" w:ascii="Times New Roman" w:hAnsi="Times New Roman" w:eastAsia="宋体" w:cs="Times New Roman"/>
                      <w:color w:val="auto"/>
                      <w:sz w:val="21"/>
                      <w:szCs w:val="21"/>
                    </w:rPr>
                    <w:t>/a</w:t>
                  </w:r>
                </w:p>
              </w:tc>
              <w:tc>
                <w:tcPr>
                  <w:tcW w:w="16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kern w:val="0"/>
                      <w:sz w:val="21"/>
                      <w:szCs w:val="21"/>
                      <w:highlight w:val="none"/>
                      <w:vertAlign w:val="baseline"/>
                      <w:lang w:val="en-US" w:eastAsia="zh-CN"/>
                    </w:rPr>
                  </w:pPr>
                  <w:r>
                    <w:rPr>
                      <w:rFonts w:hint="eastAsia" w:cs="Times New Roman"/>
                      <w:color w:val="auto"/>
                      <w:sz w:val="21"/>
                      <w:szCs w:val="21"/>
                      <w:lang w:val="en-US" w:eastAsia="zh-CN"/>
                    </w:rPr>
                    <w:t>0.031</w:t>
                  </w:r>
                  <w:r>
                    <w:rPr>
                      <w:rFonts w:hint="default" w:ascii="Times New Roman" w:hAnsi="Times New Roman" w:eastAsia="宋体" w:cs="Times New Roman"/>
                      <w:color w:val="auto"/>
                      <w:sz w:val="21"/>
                      <w:szCs w:val="21"/>
                    </w:rPr>
                    <w:t>/a</w:t>
                  </w:r>
                </w:p>
              </w:tc>
              <w:tc>
                <w:tcPr>
                  <w:tcW w:w="21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0"/>
                      <w:sz w:val="21"/>
                      <w:szCs w:val="21"/>
                      <w:highlight w:val="none"/>
                      <w:vertAlign w:val="baseline"/>
                      <w:lang w:eastAsia="zh-CN"/>
                    </w:rPr>
                  </w:pPr>
                  <w:r>
                    <w:rPr>
                      <w:rFonts w:hint="default" w:ascii="Times New Roman" w:hAnsi="Times New Roman" w:eastAsia="宋体" w:cs="Times New Roman"/>
                      <w:color w:val="auto"/>
                      <w:sz w:val="21"/>
                      <w:szCs w:val="21"/>
                      <w:highlight w:val="none"/>
                    </w:rPr>
                    <w:t>排放总量=</w:t>
                  </w:r>
                  <w:r>
                    <w:rPr>
                      <w:rFonts w:hint="eastAsia" w:cs="Times New Roman"/>
                      <w:color w:val="auto"/>
                      <w:sz w:val="21"/>
                      <w:szCs w:val="21"/>
                      <w:highlight w:val="none"/>
                      <w:lang w:val="en-US" w:eastAsia="zh-CN"/>
                    </w:rPr>
                    <w:t>50mg/L</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615.4t</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kern w:val="0"/>
                      <w:sz w:val="21"/>
                      <w:szCs w:val="21"/>
                      <w:vertAlign w:val="baseline"/>
                      <w:lang w:val="en-US"/>
                    </w:rPr>
                  </w:pPr>
                  <w:r>
                    <w:rPr>
                      <w:rFonts w:hint="eastAsia" w:hAnsi="宋体"/>
                      <w:color w:val="auto"/>
                      <w:sz w:val="21"/>
                      <w:szCs w:val="21"/>
                      <w:lang w:val="en-US" w:eastAsia="zh-CN"/>
                    </w:rPr>
                    <w:t>NH</w:t>
                  </w:r>
                  <w:r>
                    <w:rPr>
                      <w:rFonts w:hint="eastAsia" w:hAnsi="宋体"/>
                      <w:color w:val="auto"/>
                      <w:sz w:val="21"/>
                      <w:szCs w:val="21"/>
                      <w:vertAlign w:val="subscript"/>
                      <w:lang w:val="en-US" w:eastAsia="zh-CN"/>
                    </w:rPr>
                    <w:t>3</w:t>
                  </w:r>
                  <w:r>
                    <w:rPr>
                      <w:rFonts w:hint="eastAsia" w:hAnsi="宋体"/>
                      <w:color w:val="auto"/>
                      <w:sz w:val="21"/>
                      <w:szCs w:val="21"/>
                      <w:lang w:val="en-US" w:eastAsia="zh-CN"/>
                    </w:rPr>
                    <w:t>-N</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 w:val="21"/>
                      <w:szCs w:val="21"/>
                      <w:vertAlign w:val="baseline"/>
                    </w:rPr>
                  </w:pPr>
                  <w:r>
                    <w:rPr>
                      <w:rFonts w:hint="eastAsia" w:cs="Times New Roman"/>
                      <w:color w:val="auto"/>
                      <w:sz w:val="21"/>
                      <w:szCs w:val="21"/>
                      <w:lang w:val="en-US" w:eastAsia="zh-CN"/>
                    </w:rPr>
                    <w:t>0.003</w:t>
                  </w:r>
                  <w:r>
                    <w:rPr>
                      <w:rFonts w:hint="default" w:ascii="Times New Roman" w:hAnsi="Times New Roman" w:eastAsia="宋体" w:cs="Times New Roman"/>
                      <w:color w:val="auto"/>
                      <w:sz w:val="21"/>
                      <w:szCs w:val="21"/>
                    </w:rPr>
                    <w:t>/a</w:t>
                  </w:r>
                </w:p>
              </w:tc>
              <w:tc>
                <w:tcPr>
                  <w:tcW w:w="163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kern w:val="0"/>
                      <w:sz w:val="21"/>
                      <w:szCs w:val="21"/>
                      <w:highlight w:val="none"/>
                      <w:vertAlign w:val="baseline"/>
                      <w:lang w:val="en-US" w:eastAsia="zh-CN"/>
                    </w:rPr>
                  </w:pPr>
                  <w:r>
                    <w:rPr>
                      <w:rFonts w:hint="eastAsia" w:cs="Times New Roman"/>
                      <w:color w:val="auto"/>
                      <w:sz w:val="21"/>
                      <w:szCs w:val="21"/>
                      <w:lang w:val="en-US" w:eastAsia="zh-CN"/>
                    </w:rPr>
                    <w:t>0.003</w:t>
                  </w:r>
                  <w:r>
                    <w:rPr>
                      <w:rFonts w:hint="default" w:ascii="Times New Roman" w:hAnsi="Times New Roman" w:eastAsia="宋体" w:cs="Times New Roman"/>
                      <w:color w:val="auto"/>
                      <w:sz w:val="21"/>
                      <w:szCs w:val="21"/>
                    </w:rPr>
                    <w:t>/a</w:t>
                  </w:r>
                </w:p>
              </w:tc>
              <w:tc>
                <w:tcPr>
                  <w:tcW w:w="21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0"/>
                      <w:sz w:val="21"/>
                      <w:szCs w:val="21"/>
                      <w:highlight w:val="none"/>
                      <w:vertAlign w:val="baseline"/>
                      <w:lang w:eastAsia="zh-CN"/>
                    </w:rPr>
                  </w:pPr>
                  <w:r>
                    <w:rPr>
                      <w:rFonts w:hint="default" w:ascii="Times New Roman" w:hAnsi="Times New Roman" w:eastAsia="宋体" w:cs="Times New Roman"/>
                      <w:color w:val="auto"/>
                      <w:sz w:val="21"/>
                      <w:szCs w:val="21"/>
                      <w:highlight w:val="none"/>
                    </w:rPr>
                    <w:t>排放总量=</w:t>
                  </w:r>
                  <w:r>
                    <w:rPr>
                      <w:rFonts w:hint="eastAsia" w:cs="Times New Roman"/>
                      <w:color w:val="auto"/>
                      <w:sz w:val="21"/>
                      <w:szCs w:val="21"/>
                      <w:highlight w:val="none"/>
                      <w:lang w:val="en-US" w:eastAsia="zh-CN"/>
                    </w:rPr>
                    <w:t>5mg/L</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615.4t</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hAnsi="宋体"/>
                      <w:color w:val="auto"/>
                      <w:sz w:val="21"/>
                      <w:szCs w:val="21"/>
                      <w:lang w:val="en-US" w:eastAsia="zh-CN"/>
                    </w:rPr>
                  </w:pPr>
                  <w:r>
                    <w:rPr>
                      <w:rFonts w:hint="default" w:ascii="Times New Roman" w:hAnsi="Times New Roman" w:eastAsia="宋体" w:cs="Times New Roman"/>
                      <w:color w:val="auto"/>
                      <w:sz w:val="21"/>
                      <w:szCs w:val="21"/>
                      <w:lang w:val="en-US" w:eastAsia="zh-CN"/>
                    </w:rPr>
                    <w:t>烟粉尘</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0.018</w:t>
                  </w:r>
                  <w:r>
                    <w:rPr>
                      <w:rFonts w:hint="default" w:ascii="Times New Roman" w:hAnsi="Times New Roman" w:eastAsia="宋体" w:cs="Times New Roman"/>
                      <w:color w:val="auto"/>
                      <w:sz w:val="21"/>
                      <w:szCs w:val="21"/>
                    </w:rPr>
                    <w:t>t/a</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cs="Times New Roman"/>
                      <w:color w:val="auto"/>
                      <w:sz w:val="21"/>
                      <w:szCs w:val="21"/>
                      <w:lang w:val="en-US" w:eastAsia="zh-CN"/>
                    </w:rPr>
                    <w:t>15</w:t>
                  </w:r>
                  <w:r>
                    <w:rPr>
                      <w:rFonts w:hint="default" w:ascii="Times New Roman" w:hAnsi="Times New Roman" w:eastAsia="宋体" w:cs="Times New Roman"/>
                      <w:color w:val="auto"/>
                      <w:sz w:val="21"/>
                      <w:szCs w:val="21"/>
                    </w:rPr>
                    <w:t>t/a</w:t>
                  </w:r>
                </w:p>
              </w:tc>
              <w:tc>
                <w:tcPr>
                  <w:tcW w:w="21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排放总量=</w:t>
                  </w:r>
                  <w:r>
                    <w:rPr>
                      <w:rFonts w:hint="eastAsia" w:cs="Times New Roman"/>
                      <w:color w:val="auto"/>
                      <w:sz w:val="21"/>
                      <w:szCs w:val="21"/>
                      <w:highlight w:val="none"/>
                      <w:lang w:val="en-US" w:eastAsia="zh-CN"/>
                    </w:rPr>
                    <w:t>0.00986kg/h</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1500h</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hAnsi="宋体"/>
                      <w:color w:val="auto"/>
                      <w:sz w:val="21"/>
                      <w:szCs w:val="21"/>
                      <w:lang w:val="en-US" w:eastAsia="zh-CN"/>
                    </w:rPr>
                  </w:pPr>
                  <w:r>
                    <w:rPr>
                      <w:rFonts w:hint="default" w:ascii="Times New Roman" w:hAnsi="Times New Roman" w:eastAsia="宋体" w:cs="Times New Roman"/>
                      <w:color w:val="auto"/>
                      <w:sz w:val="21"/>
                      <w:szCs w:val="21"/>
                      <w:lang w:val="en-US" w:eastAsia="zh-CN"/>
                    </w:rPr>
                    <w:t>VOCs</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0.011</w:t>
                  </w:r>
                  <w:r>
                    <w:rPr>
                      <w:rFonts w:hint="default" w:ascii="Times New Roman" w:hAnsi="Times New Roman" w:eastAsia="宋体" w:cs="Times New Roman"/>
                      <w:color w:val="auto"/>
                      <w:sz w:val="21"/>
                      <w:szCs w:val="21"/>
                    </w:rPr>
                    <w:t>t/a</w:t>
                  </w:r>
                </w:p>
              </w:tc>
              <w:tc>
                <w:tcPr>
                  <w:tcW w:w="94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w:t>
                  </w:r>
                  <w:r>
                    <w:rPr>
                      <w:rFonts w:hint="eastAsia" w:cs="Times New Roman"/>
                      <w:color w:val="auto"/>
                      <w:sz w:val="21"/>
                      <w:szCs w:val="21"/>
                      <w:lang w:val="en-US" w:eastAsia="zh-CN"/>
                    </w:rPr>
                    <w:t>11</w:t>
                  </w:r>
                  <w:r>
                    <w:rPr>
                      <w:rFonts w:hint="default" w:ascii="Times New Roman" w:hAnsi="Times New Roman" w:eastAsia="宋体" w:cs="Times New Roman"/>
                      <w:color w:val="auto"/>
                      <w:sz w:val="21"/>
                      <w:szCs w:val="21"/>
                    </w:rPr>
                    <w:t>t/a</w:t>
                  </w:r>
                </w:p>
              </w:tc>
              <w:tc>
                <w:tcPr>
                  <w:tcW w:w="218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排放总量=</w:t>
                  </w:r>
                  <w:r>
                    <w:rPr>
                      <w:rFonts w:hint="eastAsia" w:cs="Times New Roman"/>
                      <w:color w:val="auto"/>
                      <w:sz w:val="21"/>
                      <w:szCs w:val="21"/>
                      <w:highlight w:val="none"/>
                      <w:lang w:val="en-US" w:eastAsia="zh-CN"/>
                    </w:rPr>
                    <w:t>0.00716kg/h</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1500h</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sz w:val="21"/>
                      <w:szCs w:val="21"/>
                      <w:highlight w:val="none"/>
                      <w:lang w:val="en-US"/>
                    </w:rPr>
                  </w:pPr>
                  <w:r>
                    <w:rPr>
                      <w:rFonts w:hint="eastAsia" w:hAnsi="宋体"/>
                      <w:color w:val="auto"/>
                      <w:sz w:val="21"/>
                      <w:szCs w:val="21"/>
                      <w:lang w:val="en-US" w:eastAsia="zh-CN"/>
                    </w:rPr>
                    <w:t>注：根据环评，本项目生活污水主要污染物外环境排放浓度为CODcr:50mg/L，NH</w:t>
                  </w:r>
                  <w:r>
                    <w:rPr>
                      <w:rFonts w:hint="eastAsia" w:hAnsi="宋体"/>
                      <w:color w:val="auto"/>
                      <w:sz w:val="21"/>
                      <w:szCs w:val="21"/>
                      <w:vertAlign w:val="subscript"/>
                      <w:lang w:val="en-US" w:eastAsia="zh-CN"/>
                    </w:rPr>
                    <w:t>3</w:t>
                  </w:r>
                  <w:r>
                    <w:rPr>
                      <w:rFonts w:hint="eastAsia" w:hAnsi="宋体"/>
                      <w:color w:val="auto"/>
                      <w:sz w:val="21"/>
                      <w:szCs w:val="21"/>
                      <w:lang w:val="en-US" w:eastAsia="zh-CN"/>
                    </w:rPr>
                    <w:t>-N:5mg/L；废气排放总量计算中排放速率为监测两天平均排放速率。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pPr>
                    <w:pStyle w:val="21"/>
                    <w:widowControl w:val="0"/>
                    <w:ind w:left="0" w:leftChars="0" w:firstLine="0" w:firstLineChars="0"/>
                    <w:rPr>
                      <w:rFonts w:hint="eastAsia" w:hAnsi="宋体"/>
                      <w:color w:val="auto"/>
                      <w:sz w:val="21"/>
                      <w:szCs w:val="21"/>
                      <w:lang w:val="en-US" w:eastAsia="zh-CN"/>
                    </w:rPr>
                  </w:pPr>
                </w:p>
                <w:p>
                  <w:pPr>
                    <w:pStyle w:val="21"/>
                    <w:widowControl w:val="0"/>
                    <w:ind w:left="0" w:leftChars="0" w:firstLine="0" w:firstLineChars="0"/>
                    <w:rPr>
                      <w:rFonts w:hint="eastAsia" w:hAnsi="宋体"/>
                      <w:color w:val="auto"/>
                      <w:sz w:val="21"/>
                      <w:szCs w:val="21"/>
                      <w:lang w:val="en-US" w:eastAsia="zh-CN"/>
                    </w:rPr>
                  </w:pPr>
                </w:p>
                <w:p>
                  <w:pPr>
                    <w:pStyle w:val="21"/>
                    <w:widowControl w:val="0"/>
                    <w:ind w:left="0" w:leftChars="0" w:firstLine="0" w:firstLineChars="0"/>
                    <w:rPr>
                      <w:rFonts w:hint="eastAsia" w:hAnsi="宋体"/>
                      <w:color w:val="auto"/>
                      <w:sz w:val="21"/>
                      <w:szCs w:val="21"/>
                      <w:lang w:val="en-US" w:eastAsia="zh-CN"/>
                    </w:rPr>
                  </w:pPr>
                </w:p>
              </w:tc>
            </w:tr>
          </w:tbl>
          <w:p>
            <w:pPr>
              <w:widowControl w:val="0"/>
              <w:spacing w:line="360" w:lineRule="auto"/>
            </w:pPr>
          </w:p>
        </w:tc>
      </w:tr>
    </w:tbl>
    <w:p>
      <w:pPr>
        <w:sectPr>
          <w:pgSz w:w="12240" w:h="15840"/>
          <w:pgMar w:top="1440" w:right="1797" w:bottom="1440" w:left="1797" w:header="720" w:footer="720" w:gutter="0"/>
          <w:pgNumType w:fmt="decimal"/>
          <w:cols w:space="720" w:num="1"/>
          <w:docGrid w:type="lines" w:linePitch="312" w:charSpace="0"/>
        </w:sectPr>
      </w:pPr>
    </w:p>
    <w:p>
      <w:pPr>
        <w:pStyle w:val="4"/>
        <w:bidi w:val="0"/>
        <w:rPr>
          <w:rFonts w:hint="eastAsia" w:ascii="宋体" w:hAnsi="宋体" w:eastAsia="宋体" w:cs="宋体"/>
          <w:lang w:val="en-US" w:eastAsia="zh-CN"/>
        </w:rPr>
      </w:pPr>
      <w:bookmarkStart w:id="37" w:name="_Toc17360"/>
      <w:bookmarkStart w:id="38" w:name="_Toc103603946"/>
      <w:r>
        <w:rPr>
          <w:rFonts w:hint="eastAsia" w:ascii="宋体" w:hAnsi="宋体" w:eastAsia="宋体" w:cs="宋体"/>
        </w:rPr>
        <w:t xml:space="preserve">表八  </w:t>
      </w:r>
      <w:r>
        <w:rPr>
          <w:rFonts w:hint="eastAsia" w:ascii="宋体" w:hAnsi="宋体" w:eastAsia="宋体" w:cs="宋体"/>
          <w:lang w:eastAsia="zh-CN"/>
        </w:rPr>
        <w:t>项目建设落实情况</w:t>
      </w:r>
      <w:bookmarkEnd w:id="37"/>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85" w:hRule="atLeast"/>
        </w:trPr>
        <w:tc>
          <w:tcPr>
            <w:tcW w:w="5000" w:type="pct"/>
          </w:tcPr>
          <w:tbl>
            <w:tblPr>
              <w:tblStyle w:val="33"/>
              <w:tblW w:w="91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1321"/>
              <w:gridCol w:w="3970"/>
              <w:gridCol w:w="2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78" w:type="pct"/>
                  <w:tcBorders>
                    <w:top w:val="single" w:color="auto" w:sz="12" w:space="0"/>
                    <w:bottom w:val="single" w:color="auto" w:sz="4" w:space="0"/>
                  </w:tcBorders>
                  <w:noWrap w:val="0"/>
                  <w:vAlign w:val="center"/>
                </w:tcPr>
                <w:p>
                  <w:pPr>
                    <w:widowControl w:val="0"/>
                    <w:bidi w:val="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val="en-US" w:eastAsia="zh-CN"/>
                    </w:rPr>
                    <w:t>分类</w:t>
                  </w:r>
                </w:p>
              </w:tc>
              <w:tc>
                <w:tcPr>
                  <w:tcW w:w="719" w:type="pct"/>
                  <w:tcBorders>
                    <w:top w:val="single" w:color="auto" w:sz="12" w:space="0"/>
                    <w:bottom w:val="single" w:color="auto" w:sz="4" w:space="0"/>
                  </w:tcBorders>
                  <w:noWrap w:val="0"/>
                  <w:vAlign w:val="center"/>
                </w:tcPr>
                <w:p>
                  <w:pPr>
                    <w:widowControl w:val="0"/>
                    <w:bidi w:val="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val="en-US" w:eastAsia="zh-CN"/>
                    </w:rPr>
                    <w:t>污染源</w:t>
                  </w:r>
                </w:p>
              </w:tc>
              <w:tc>
                <w:tcPr>
                  <w:tcW w:w="2161" w:type="pct"/>
                  <w:tcBorders>
                    <w:top w:val="single" w:color="auto" w:sz="12" w:space="0"/>
                    <w:bottom w:val="single" w:color="auto" w:sz="4" w:space="0"/>
                  </w:tcBorders>
                  <w:noWrap w:val="0"/>
                  <w:vAlign w:val="center"/>
                </w:tcPr>
                <w:p>
                  <w:pPr>
                    <w:widowControl w:val="0"/>
                    <w:bidi w:val="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val="en-US" w:eastAsia="zh-CN"/>
                    </w:rPr>
                    <w:t>建设内容</w:t>
                  </w:r>
                </w:p>
              </w:tc>
              <w:tc>
                <w:tcPr>
                  <w:tcW w:w="1441" w:type="pct"/>
                  <w:tcBorders>
                    <w:top w:val="single" w:color="auto" w:sz="12" w:space="0"/>
                    <w:bottom w:val="single" w:color="auto" w:sz="4" w:space="0"/>
                    <w:right w:val="single" w:color="auto" w:sz="12" w:space="0"/>
                  </w:tcBorders>
                  <w:noWrap w:val="0"/>
                  <w:vAlign w:val="center"/>
                </w:tcPr>
                <w:p>
                  <w:pPr>
                    <w:widowControl w:val="0"/>
                    <w:bidi w:val="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78" w:type="pct"/>
                  <w:tcBorders>
                    <w:top w:val="single" w:color="auto" w:sz="4" w:space="0"/>
                    <w:left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废水</w:t>
                  </w:r>
                </w:p>
              </w:tc>
              <w:tc>
                <w:tcPr>
                  <w:tcW w:w="719" w:type="pct"/>
                  <w:tcBorders>
                    <w:top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生活污水</w:t>
                  </w:r>
                </w:p>
              </w:tc>
              <w:tc>
                <w:tcPr>
                  <w:tcW w:w="2161" w:type="pct"/>
                  <w:tcBorders>
                    <w:top w:val="single" w:color="auto" w:sz="4" w:space="0"/>
                    <w:bottom w:val="single" w:color="auto" w:sz="4" w:space="0"/>
                  </w:tcBorders>
                  <w:noWrap w:val="0"/>
                  <w:vAlign w:val="center"/>
                </w:tcPr>
                <w:p>
                  <w:pPr>
                    <w:widowControl w:val="0"/>
                    <w:bidi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化粪池及格栅预处理达标后纳管</w:t>
                  </w:r>
                </w:p>
              </w:tc>
              <w:tc>
                <w:tcPr>
                  <w:tcW w:w="1441" w:type="pct"/>
                  <w:tcBorders>
                    <w:top w:val="single" w:color="auto" w:sz="4" w:space="0"/>
                    <w:bottom w:val="single" w:color="auto" w:sz="4" w:space="0"/>
                    <w:right w:val="single" w:color="auto" w:sz="12" w:space="0"/>
                  </w:tcBorders>
                  <w:noWrap w:val="0"/>
                  <w:vAlign w:val="center"/>
                </w:tcPr>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员工生活污水则经化粪池预处理，纳入市政管网，再由嘉兴市联合污水处理有限责任公司集中处理后集中外排放。</w:t>
                  </w:r>
                </w:p>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78" w:type="pct"/>
                  <w:tcBorders>
                    <w:top w:val="single" w:color="auto" w:sz="4" w:space="0"/>
                    <w:left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废气</w:t>
                  </w:r>
                </w:p>
              </w:tc>
              <w:tc>
                <w:tcPr>
                  <w:tcW w:w="719" w:type="pct"/>
                  <w:tcBorders>
                    <w:top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抛光粉尘、焊接烟尘、破碎粉尘、焊接有机废气、密封废气、老化废气及注塑废气</w:t>
                  </w:r>
                </w:p>
              </w:tc>
              <w:tc>
                <w:tcPr>
                  <w:tcW w:w="2161" w:type="pct"/>
                  <w:tcBorders>
                    <w:top w:val="single" w:color="auto" w:sz="4" w:space="0"/>
                    <w:bottom w:val="single" w:color="auto" w:sz="4" w:space="0"/>
                  </w:tcBorders>
                  <w:noWrap w:val="0"/>
                  <w:vAlign w:val="center"/>
                </w:tcPr>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抛光、打磨粉尘收集后经布袋除尘后通过排气筒（不低于15m）屋顶高空排放；其余废气经布袋除尘+两级活性炭吸附装置处理（处理效率不低于80%），风机风量不小于2000m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 xml:space="preserve"> /h，处理达标后通过排气筒（不低于15m）屋顶高空排放。</w:t>
                  </w:r>
                </w:p>
              </w:tc>
              <w:tc>
                <w:tcPr>
                  <w:tcW w:w="1441" w:type="pct"/>
                  <w:tcBorders>
                    <w:top w:val="single" w:color="auto" w:sz="4" w:space="0"/>
                    <w:bottom w:val="single" w:color="auto" w:sz="4" w:space="0"/>
                    <w:right w:val="single" w:color="auto" w:sz="12" w:space="0"/>
                  </w:tcBorders>
                  <w:noWrap w:val="0"/>
                  <w:vAlign w:val="center"/>
                </w:tcPr>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实际本项目对抛光粉尘进行污染物处理措施加强，</w:t>
                  </w:r>
                  <w:r>
                    <w:rPr>
                      <w:rFonts w:hint="eastAsia"/>
                      <w:sz w:val="21"/>
                      <w:szCs w:val="21"/>
                    </w:rPr>
                    <w:t>抛光粉尘、焊接烟尘、破碎粉尘、焊接有机废气、密封废气、老化废气及注塑废气</w:t>
                  </w:r>
                  <w:r>
                    <w:rPr>
                      <w:rFonts w:hint="eastAsia"/>
                      <w:sz w:val="21"/>
                      <w:szCs w:val="21"/>
                      <w:lang w:eastAsia="zh-CN"/>
                    </w:rPr>
                    <w:t>经</w:t>
                  </w:r>
                  <w:r>
                    <w:rPr>
                      <w:rFonts w:hint="eastAsia" w:ascii="Times New Roman" w:hAnsi="Times New Roman" w:cs="Times New Roman"/>
                      <w:sz w:val="21"/>
                      <w:szCs w:val="21"/>
                      <w:lang w:eastAsia="zh-CN"/>
                    </w:rPr>
                    <w:t>收集后一并经布袋除尘+两级活性炭吸附处理，处理后通过</w:t>
                  </w:r>
                  <w:r>
                    <w:rPr>
                      <w:rFonts w:hint="eastAsia" w:cs="Times New Roman"/>
                      <w:sz w:val="21"/>
                      <w:szCs w:val="21"/>
                      <w:lang w:val="en-US" w:eastAsia="zh-CN"/>
                    </w:rPr>
                    <w:t>15m高</w:t>
                  </w:r>
                  <w:r>
                    <w:rPr>
                      <w:rFonts w:hint="eastAsia" w:ascii="Times New Roman" w:hAnsi="Times New Roman" w:cs="Times New Roman"/>
                      <w:sz w:val="21"/>
                      <w:szCs w:val="21"/>
                      <w:lang w:eastAsia="zh-CN"/>
                    </w:rPr>
                    <w:t>排气筒于屋顶高空排放</w:t>
                  </w:r>
                  <w:r>
                    <w:rPr>
                      <w:rFonts w:hint="default" w:ascii="Times New Roman" w:hAnsi="Times New Roman" w:eastAsia="宋体" w:cs="Times New Roman"/>
                      <w:sz w:val="21"/>
                      <w:szCs w:val="21"/>
                      <w:lang w:val="en-US" w:eastAsia="zh-CN"/>
                    </w:rPr>
                    <w:t>。</w:t>
                  </w:r>
                </w:p>
                <w:p>
                  <w:pPr>
                    <w:pStyle w:val="2"/>
                    <w:widowControl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78" w:type="pct"/>
                  <w:tcBorders>
                    <w:top w:val="single" w:color="auto" w:sz="4" w:space="0"/>
                    <w:left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噪声</w:t>
                  </w:r>
                </w:p>
              </w:tc>
              <w:tc>
                <w:tcPr>
                  <w:tcW w:w="719" w:type="pct"/>
                  <w:tcBorders>
                    <w:top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机械设备</w:t>
                  </w:r>
                </w:p>
              </w:tc>
              <w:tc>
                <w:tcPr>
                  <w:tcW w:w="2161" w:type="pct"/>
                  <w:tcBorders>
                    <w:top w:val="single" w:color="auto" w:sz="4" w:space="0"/>
                    <w:bottom w:val="single" w:color="auto" w:sz="4" w:space="0"/>
                  </w:tcBorders>
                  <w:noWrap w:val="0"/>
                  <w:vAlign w:val="center"/>
                </w:tcPr>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1）设备选型时尽量选用噪声较小的设备；</w:t>
                  </w:r>
                </w:p>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2）对高噪声设备采用减振、隔声措施，加固基础，增设减震垫；</w:t>
                  </w:r>
                </w:p>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3）企业还需加强设备管理和维护，保持设备正常运行，减少设备因故障引起的高噪音；</w:t>
                  </w:r>
                </w:p>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4）生产时尽量少开启门窗，采用换气扇进行通风换气。</w:t>
                  </w:r>
                </w:p>
                <w:p>
                  <w:pPr>
                    <w:widowControl w:val="0"/>
                    <w:bidi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5）选用性能好的减振材料和隔振器，如乳胶海绵、空气弹簧、阻尼气垫减震器等，做好基础减振；风机设置消声器，消声量为25dB 以上，同时尽可能室内放置或设置隔声罩，隔声量可达10dB 以上。</w:t>
                  </w:r>
                </w:p>
              </w:tc>
              <w:tc>
                <w:tcPr>
                  <w:tcW w:w="1441" w:type="pct"/>
                  <w:tcBorders>
                    <w:top w:val="single" w:color="auto" w:sz="4" w:space="0"/>
                    <w:bottom w:val="single" w:color="auto" w:sz="4" w:space="0"/>
                    <w:right w:val="single" w:color="auto" w:sz="12" w:space="0"/>
                  </w:tcBorders>
                  <w:noWrap w:val="0"/>
                  <w:vAlign w:val="center"/>
                </w:tcPr>
                <w:p>
                  <w:pPr>
                    <w:widowControl w:val="0"/>
                    <w:bidi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78" w:type="pct"/>
                  <w:tcBorders>
                    <w:top w:val="single" w:color="auto" w:sz="4" w:space="0"/>
                    <w:left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固废</w:t>
                  </w:r>
                </w:p>
              </w:tc>
              <w:tc>
                <w:tcPr>
                  <w:tcW w:w="719" w:type="pct"/>
                  <w:tcBorders>
                    <w:top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一般固废、危险废物</w:t>
                  </w:r>
                </w:p>
              </w:tc>
              <w:tc>
                <w:tcPr>
                  <w:tcW w:w="2161" w:type="pct"/>
                  <w:tcBorders>
                    <w:top w:val="single" w:color="auto" w:sz="4" w:space="0"/>
                    <w:bottom w:val="single" w:color="auto" w:sz="4" w:space="0"/>
                  </w:tcBorders>
                  <w:noWrap w:val="0"/>
                  <w:vAlign w:val="center"/>
                </w:tcPr>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1、一般包装材料、边角料收集后出售综合利用；</w:t>
                  </w:r>
                </w:p>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2、危险废物收集暂存后委托有资质的危废处置单位集中处置；</w:t>
                  </w:r>
                </w:p>
                <w:p>
                  <w:pPr>
                    <w:widowControl w:val="0"/>
                    <w:bidi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3、生活垃圾委托当地环卫部门定期清运；</w:t>
                  </w:r>
                </w:p>
              </w:tc>
              <w:tc>
                <w:tcPr>
                  <w:tcW w:w="1441" w:type="pct"/>
                  <w:tcBorders>
                    <w:top w:val="single" w:color="auto" w:sz="4" w:space="0"/>
                    <w:bottom w:val="single" w:color="auto" w:sz="4" w:space="0"/>
                    <w:right w:val="single" w:color="auto" w:sz="12" w:space="0"/>
                  </w:tcBorders>
                  <w:noWrap w:val="0"/>
                  <w:vAlign w:val="center"/>
                </w:tcPr>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1、一般包装材料、边角料收集后出售综合利用；</w:t>
                  </w:r>
                </w:p>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2、危险废物收集暂存后委托有</w:t>
                  </w:r>
                  <w:r>
                    <w:rPr>
                      <w:rFonts w:hint="default" w:ascii="Times New Roman" w:hAnsi="Times New Roman" w:eastAsia="宋体" w:cs="Times New Roman"/>
                      <w:color w:val="auto"/>
                      <w:sz w:val="21"/>
                      <w:szCs w:val="21"/>
                      <w:lang w:val="en-US" w:eastAsia="zh-CN"/>
                    </w:rPr>
                    <w:t>资质的危废处置单位</w:t>
                  </w:r>
                  <w:r>
                    <w:rPr>
                      <w:rFonts w:hint="default" w:ascii="Times New Roman" w:hAnsi="Times New Roman" w:eastAsia="宋体" w:cs="Times New Roman"/>
                      <w:sz w:val="21"/>
                      <w:szCs w:val="21"/>
                      <w:lang w:val="en-US" w:eastAsia="zh-CN"/>
                    </w:rPr>
                    <w:t>集中处置；</w:t>
                  </w:r>
                </w:p>
                <w:p>
                  <w:pPr>
                    <w:widowControl w:val="0"/>
                    <w:bidi w:val="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3、生活垃圾委托当地环卫部门定期清运。</w:t>
                  </w:r>
                </w:p>
                <w:p>
                  <w:pPr>
                    <w:widowControl w:val="0"/>
                    <w:bidi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78" w:type="pct"/>
                  <w:tcBorders>
                    <w:top w:val="single" w:color="auto" w:sz="4" w:space="0"/>
                    <w:left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风险</w:t>
                  </w:r>
                </w:p>
              </w:tc>
              <w:tc>
                <w:tcPr>
                  <w:tcW w:w="719" w:type="pct"/>
                  <w:tcBorders>
                    <w:top w:val="single" w:color="auto" w:sz="4" w:space="0"/>
                    <w:bottom w:val="single" w:color="auto" w:sz="4" w:space="0"/>
                  </w:tcBorders>
                  <w:noWrap w:val="0"/>
                  <w:vAlign w:val="center"/>
                </w:tcPr>
                <w:p>
                  <w:pPr>
                    <w:widowControl w:val="0"/>
                    <w:bidi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风险防范措施要求</w:t>
                  </w:r>
                </w:p>
              </w:tc>
              <w:tc>
                <w:tcPr>
                  <w:tcW w:w="2161" w:type="pct"/>
                  <w:tcBorders>
                    <w:top w:val="single" w:color="auto" w:sz="4" w:space="0"/>
                    <w:bottom w:val="single" w:color="auto" w:sz="4" w:space="0"/>
                  </w:tcBorders>
                  <w:noWrap w:val="0"/>
                  <w:vAlign w:val="center"/>
                </w:tcPr>
                <w:p>
                  <w:pPr>
                    <w:widowControl/>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bidi="ar"/>
                    </w:rPr>
                    <w:t>① 企业在厂区按要求设置消防栓，配备足够的防火灭火器材，发生火灾、爆炸事故时，第一时间加以控制，不会发生大面积的火灾事件；</w:t>
                  </w:r>
                </w:p>
                <w:p>
                  <w:pPr>
                    <w:widowControl/>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bidi="ar"/>
                    </w:rPr>
                    <w:t>② 原辅料储存区、生产装置区、固体废物堆存区的防渗要求，应满足国家和地方标准、防渗技术规范要求；</w:t>
                  </w:r>
                </w:p>
                <w:p>
                  <w:pPr>
                    <w:widowControl w:val="0"/>
                    <w:bidi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color w:val="000000"/>
                      <w:kern w:val="0"/>
                      <w:sz w:val="21"/>
                      <w:szCs w:val="21"/>
                      <w:lang w:bidi="ar"/>
                    </w:rPr>
                    <w:t>③ 危废仓库按规范建设，做到“三防”要求。</w:t>
                  </w:r>
                </w:p>
              </w:tc>
              <w:tc>
                <w:tcPr>
                  <w:tcW w:w="1441" w:type="pct"/>
                  <w:tcBorders>
                    <w:top w:val="single" w:color="auto" w:sz="4" w:space="0"/>
                    <w:bottom w:val="single" w:color="auto" w:sz="4" w:space="0"/>
                    <w:right w:val="single" w:color="auto" w:sz="12" w:space="0"/>
                  </w:tcBorders>
                  <w:noWrap w:val="0"/>
                  <w:vAlign w:val="center"/>
                </w:tcPr>
                <w:p>
                  <w:pPr>
                    <w:widowControl w:val="0"/>
                    <w:bidi w:val="0"/>
                    <w:jc w:val="both"/>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已落实</w:t>
                  </w:r>
                  <w:r>
                    <w:rPr>
                      <w:rFonts w:hint="eastAsia" w:ascii="Times New Roman" w:hAnsi="Times New Roman" w:eastAsia="宋体" w:cs="Times New Roman"/>
                      <w:sz w:val="21"/>
                      <w:szCs w:val="21"/>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color w:val="FF0000"/>
                <w:szCs w:val="21"/>
              </w:rPr>
            </w:pPr>
          </w:p>
        </w:tc>
      </w:tr>
    </w:tbl>
    <w:p>
      <w:pPr>
        <w:pStyle w:val="4"/>
        <w:bidi w:val="0"/>
        <w:rPr>
          <w:rFonts w:hint="eastAsia" w:ascii="宋体" w:hAnsi="宋体" w:eastAsia="宋体" w:cs="宋体"/>
        </w:rPr>
      </w:pPr>
      <w:bookmarkStart w:id="39" w:name="_Toc31113"/>
      <w:r>
        <w:rPr>
          <w:rFonts w:hint="eastAsia" w:ascii="宋体" w:hAnsi="宋体" w:eastAsia="宋体" w:cs="宋体"/>
        </w:rPr>
        <w:t>表</w:t>
      </w:r>
      <w:bookmarkEnd w:id="34"/>
      <w:bookmarkEnd w:id="35"/>
      <w:bookmarkEnd w:id="36"/>
      <w:r>
        <w:rPr>
          <w:rFonts w:hint="eastAsia" w:ascii="宋体" w:hAnsi="宋体" w:eastAsia="宋体" w:cs="宋体"/>
          <w:lang w:eastAsia="zh-CN"/>
        </w:rPr>
        <w:t>九</w:t>
      </w:r>
      <w:r>
        <w:rPr>
          <w:rFonts w:hint="eastAsia" w:ascii="宋体" w:hAnsi="宋体" w:eastAsia="宋体" w:cs="宋体"/>
        </w:rPr>
        <w:t xml:space="preserve">  验收结论</w:t>
      </w:r>
      <w:bookmarkEnd w:id="38"/>
      <w:bookmarkEnd w:id="39"/>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1" w:hRule="atLeast"/>
        </w:trPr>
        <w:tc>
          <w:tcPr>
            <w:tcW w:w="5000" w:type="pct"/>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b/>
                <w:bCs/>
                <w:sz w:val="24"/>
                <w:szCs w:val="24"/>
              </w:rPr>
            </w:pPr>
            <w:r>
              <w:rPr>
                <w:rFonts w:hint="eastAsia"/>
                <w:b/>
                <w:bCs/>
                <w:sz w:val="24"/>
                <w:szCs w:val="24"/>
              </w:rPr>
              <w:t>一、环境保护执行情况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本公司</w:t>
            </w:r>
            <w:r>
              <w:rPr>
                <w:rFonts w:hint="eastAsia" w:ascii="Times New Roman" w:hAnsi="Times New Roman" w:eastAsia="宋体" w:cs="Times New Roman"/>
                <w:color w:val="auto"/>
                <w:kern w:val="2"/>
                <w:sz w:val="24"/>
                <w:szCs w:val="24"/>
                <w:highlight w:val="none"/>
                <w:lang w:val="en-US" w:eastAsia="zh-CN" w:bidi="ar-SA"/>
              </w:rPr>
              <w:t>在项目建设中落实了国家建设项目管理的有关规定和</w:t>
            </w:r>
            <w:r>
              <w:rPr>
                <w:rFonts w:hint="eastAsia" w:cs="Times New Roman"/>
                <w:color w:val="auto"/>
                <w:kern w:val="2"/>
                <w:sz w:val="24"/>
                <w:szCs w:val="24"/>
                <w:highlight w:val="none"/>
                <w:lang w:val="en-US" w:eastAsia="zh-CN" w:bidi="ar-SA"/>
              </w:rPr>
              <w:t>嘉兴市生态环境局</w:t>
            </w:r>
            <w:r>
              <w:rPr>
                <w:rFonts w:hint="eastAsia" w:ascii="Times New Roman" w:hAnsi="Times New Roman" w:eastAsia="宋体" w:cs="Times New Roman"/>
                <w:color w:val="auto"/>
                <w:kern w:val="2"/>
                <w:sz w:val="24"/>
                <w:szCs w:val="24"/>
                <w:highlight w:val="none"/>
                <w:lang w:val="en-US" w:eastAsia="zh-CN" w:bidi="ar-SA"/>
              </w:rPr>
              <w:t>对该项目环评的有关批复意见，履行了建设项目环境影响审批手续，执行了建设项目环境保护“三同时”的有关要求。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hint="eastAsia"/>
                <w:b/>
                <w:bCs/>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textAlignment w:val="auto"/>
              <w:rPr>
                <w:rFonts w:ascii="Times New Roman" w:hAnsi="Times New Roman" w:eastAsiaTheme="minorEastAsia"/>
                <w:b/>
                <w:bCs/>
                <w:kern w:val="0"/>
                <w:sz w:val="24"/>
                <w:szCs w:val="24"/>
              </w:rPr>
            </w:pPr>
            <w:r>
              <w:rPr>
                <w:rFonts w:hint="eastAsia"/>
                <w:b/>
                <w:bCs/>
                <w:sz w:val="24"/>
                <w:szCs w:val="24"/>
                <w:lang w:val="en-US" w:eastAsia="zh-CN"/>
              </w:rPr>
              <w:t>二</w:t>
            </w:r>
            <w:r>
              <w:rPr>
                <w:b/>
                <w:bCs/>
                <w:sz w:val="24"/>
                <w:szCs w:val="24"/>
              </w:rPr>
              <w:t>、</w:t>
            </w:r>
            <w:r>
              <w:rPr>
                <w:rFonts w:ascii="Times New Roman" w:hAnsi="Times New Roman" w:eastAsiaTheme="minorEastAsia"/>
                <w:b/>
                <w:bCs/>
                <w:kern w:val="0"/>
                <w:sz w:val="24"/>
                <w:szCs w:val="24"/>
              </w:rPr>
              <w:t>废水监测结论</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cs="Times New Roman"/>
                <w:sz w:val="24"/>
                <w:szCs w:val="24"/>
                <w:highlight w:val="none"/>
                <w:lang w:val="en-US"/>
              </w:rPr>
            </w:pPr>
            <w:r>
              <w:rPr>
                <w:rFonts w:hint="eastAsia" w:ascii="Times New Roman" w:hAnsi="Times New Roman" w:cs="Times New Roman"/>
                <w:color w:val="auto"/>
                <w:kern w:val="2"/>
                <w:sz w:val="24"/>
                <w:szCs w:val="24"/>
                <w:highlight w:val="none"/>
                <w:lang w:val="en-US" w:eastAsia="zh-CN"/>
              </w:rPr>
              <w:t>监测期间，生活污水总排口中pH值、化学需氧量、悬浮物两天的监测结果均符合</w:t>
            </w:r>
            <w:r>
              <w:rPr>
                <w:rFonts w:hint="default" w:ascii="Times New Roman" w:hAnsi="Times New Roman" w:eastAsia="宋体" w:cs="Times New Roman"/>
                <w:b w:val="0"/>
                <w:bCs/>
                <w:sz w:val="24"/>
                <w:szCs w:val="24"/>
                <w:highlight w:val="none"/>
                <w:lang w:val="en-US" w:eastAsia="zh-CN"/>
              </w:rPr>
              <w:t>《污水综合排放标准》（GB 8978-1996）表4中三级标准限值</w:t>
            </w:r>
            <w:r>
              <w:rPr>
                <w:rFonts w:hint="eastAsia" w:ascii="Times New Roman" w:hAnsi="Times New Roman" w:cs="Times New Roman"/>
                <w:b w:val="0"/>
                <w:bCs/>
                <w:sz w:val="24"/>
                <w:szCs w:val="24"/>
                <w:highlight w:val="none"/>
                <w:lang w:val="en-US" w:eastAsia="zh-CN"/>
              </w:rPr>
              <w:t>要求；氨氮、总磷</w:t>
            </w:r>
            <w:r>
              <w:rPr>
                <w:rFonts w:hint="eastAsia" w:ascii="Times New Roman" w:hAnsi="Times New Roman" w:cs="Times New Roman"/>
                <w:color w:val="auto"/>
                <w:kern w:val="2"/>
                <w:sz w:val="24"/>
                <w:szCs w:val="24"/>
                <w:highlight w:val="none"/>
                <w:lang w:val="en-US" w:eastAsia="zh-CN"/>
              </w:rPr>
              <w:t>两天的监测结果均符合</w:t>
            </w:r>
            <w:r>
              <w:rPr>
                <w:rFonts w:hint="default" w:ascii="Times New Roman" w:hAnsi="Times New Roman" w:eastAsia="宋体" w:cs="Times New Roman"/>
                <w:sz w:val="24"/>
                <w:szCs w:val="24"/>
                <w:highlight w:val="none"/>
                <w:lang w:val="en-US" w:eastAsia="zh-CN"/>
              </w:rPr>
              <w:t>《工业企业废水氮、磷污染物间接排放限值》（DB 33/ 887-2013）表1中间接排放限值</w:t>
            </w:r>
            <w:r>
              <w:rPr>
                <w:rFonts w:hint="eastAsia" w:ascii="Times New Roman" w:hAnsi="Times New Roman" w:eastAsia="宋体" w:cs="Times New Roman"/>
                <w:sz w:val="24"/>
                <w:szCs w:val="24"/>
                <w:highlight w:val="none"/>
                <w:lang w:val="en-US" w:eastAsia="zh-CN"/>
              </w:rPr>
              <w:t>要求</w:t>
            </w:r>
            <w:r>
              <w:rPr>
                <w:rFonts w:hint="eastAsia" w:ascii="Times New Roman" w:hAnsi="Times New Roman" w:cs="Times New Roman"/>
                <w:b w:val="0"/>
                <w:bCs/>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4"/>
                <w:szCs w:val="24"/>
                <w:lang w:val="en-US" w:eastAsia="zh-CN"/>
              </w:rPr>
            </w:pPr>
            <w:r>
              <w:rPr>
                <w:rFonts w:hint="eastAsia" w:cs="Times New Roman"/>
                <w:b/>
                <w:bCs/>
                <w:kern w:val="0"/>
                <w:sz w:val="24"/>
                <w:szCs w:val="24"/>
                <w:lang w:val="en-US" w:eastAsia="zh-CN"/>
              </w:rPr>
              <w:t>三</w:t>
            </w:r>
            <w:r>
              <w:rPr>
                <w:rFonts w:hint="default" w:ascii="Times New Roman" w:hAnsi="Times New Roman" w:cs="Times New Roman"/>
                <w:b/>
                <w:bCs/>
                <w:kern w:val="0"/>
                <w:sz w:val="24"/>
                <w:szCs w:val="24"/>
                <w:lang w:val="en-US" w:eastAsia="zh-CN"/>
              </w:rPr>
              <w:t>、</w:t>
            </w:r>
            <w:r>
              <w:rPr>
                <w:rFonts w:hint="default" w:ascii="Times New Roman" w:hAnsi="Times New Roman" w:cs="Times New Roman"/>
                <w:b/>
                <w:bCs/>
                <w:kern w:val="0"/>
                <w:sz w:val="24"/>
                <w:szCs w:val="24"/>
              </w:rPr>
              <w:t>废气监测结论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监测期间</w:t>
            </w:r>
            <w:r>
              <w:rPr>
                <w:rFonts w:hint="default" w:ascii="Times New Roman" w:hAnsi="Times New Roman" w:eastAsia="宋体" w:cs="Times New Roman"/>
                <w:b w:val="0"/>
                <w:bCs w:val="0"/>
                <w:i w:val="0"/>
                <w:iCs w:val="0"/>
                <w:smallCaps w:val="0"/>
                <w:color w:val="auto"/>
                <w:kern w:val="0"/>
                <w:sz w:val="24"/>
                <w:szCs w:val="24"/>
                <w:lang w:val="en-US" w:eastAsia="zh-CN"/>
              </w:rPr>
              <w:t>，</w:t>
            </w:r>
            <w:r>
              <w:rPr>
                <w:rFonts w:ascii="Times New Roman" w:hAnsi="Times New Roman" w:eastAsia="宋体"/>
                <w:kern w:val="2"/>
                <w:sz w:val="24"/>
                <w:szCs w:val="24"/>
              </w:rPr>
              <w:t>废气</w:t>
            </w:r>
            <w:r>
              <w:rPr>
                <w:rFonts w:hint="eastAsia" w:ascii="Times New Roman" w:hAnsi="Times New Roman" w:eastAsia="宋体"/>
                <w:kern w:val="2"/>
                <w:sz w:val="24"/>
                <w:szCs w:val="24"/>
                <w:lang w:val="en-US" w:eastAsia="zh-CN"/>
              </w:rPr>
              <w:t>出口</w:t>
            </w:r>
            <w:r>
              <w:rPr>
                <w:rFonts w:hint="eastAsia"/>
                <w:kern w:val="2"/>
                <w:sz w:val="24"/>
                <w:szCs w:val="24"/>
                <w:lang w:val="en-US" w:eastAsia="zh-CN"/>
              </w:rPr>
              <w:t>颗粒物及非甲烷总烃排放浓度均符合</w:t>
            </w:r>
            <w:r>
              <w:rPr>
                <w:rFonts w:hint="eastAsia" w:ascii="Times New Roman" w:hAnsi="Times New Roman" w:eastAsia="宋体"/>
                <w:kern w:val="2"/>
                <w:sz w:val="24"/>
                <w:szCs w:val="24"/>
                <w:lang w:val="en-US" w:eastAsia="zh-CN"/>
              </w:rPr>
              <w:t>《合成树脂工业污染物排放标准》（GB</w:t>
            </w:r>
            <w:r>
              <w:rPr>
                <w:rFonts w:hint="eastAsia"/>
                <w:kern w:val="2"/>
                <w:sz w:val="24"/>
                <w:szCs w:val="24"/>
                <w:lang w:val="en-US" w:eastAsia="zh-CN"/>
              </w:rPr>
              <w:t xml:space="preserve"> </w:t>
            </w:r>
            <w:r>
              <w:rPr>
                <w:rFonts w:hint="eastAsia" w:ascii="Times New Roman" w:hAnsi="Times New Roman" w:eastAsia="宋体"/>
                <w:kern w:val="2"/>
                <w:sz w:val="24"/>
                <w:szCs w:val="24"/>
                <w:lang w:val="en-US" w:eastAsia="zh-CN"/>
              </w:rPr>
              <w:t>31572-2015）表5“大气污染物特别排放限值”要求，锡及其化合物</w:t>
            </w:r>
            <w:r>
              <w:rPr>
                <w:rFonts w:hint="eastAsia"/>
                <w:kern w:val="2"/>
                <w:sz w:val="24"/>
                <w:szCs w:val="24"/>
                <w:lang w:val="en-US" w:eastAsia="zh-CN"/>
              </w:rPr>
              <w:t>排放浓度及排放速率均符合</w:t>
            </w:r>
            <w:r>
              <w:rPr>
                <w:rFonts w:hint="eastAsia" w:ascii="Times New Roman" w:hAnsi="Times New Roman" w:eastAsia="宋体"/>
                <w:kern w:val="2"/>
                <w:sz w:val="24"/>
                <w:szCs w:val="24"/>
                <w:lang w:val="en-US" w:eastAsia="zh-CN"/>
              </w:rPr>
              <w:t>《大气污染物综合排放标准》(GB 16297- 1996)中“新污染物排放限值二级”标准限值</w:t>
            </w:r>
            <w:r>
              <w:rPr>
                <w:rFonts w:hint="default" w:ascii="Times New Roman" w:hAnsi="Times New Roman" w:eastAsia="宋体" w:cs="Times New Roman"/>
                <w:kern w:val="0"/>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i w:val="0"/>
                <w:iCs w:val="0"/>
                <w:smallCaps w:val="0"/>
                <w:color w:val="auto"/>
                <w:kern w:val="0"/>
                <w:sz w:val="24"/>
                <w:szCs w:val="24"/>
                <w:lang w:val="en-US" w:eastAsia="zh-CN"/>
              </w:rPr>
            </w:pPr>
            <w:r>
              <w:rPr>
                <w:rFonts w:hint="default" w:ascii="Times New Roman" w:hAnsi="Times New Roman" w:cs="Times New Roman"/>
                <w:color w:val="auto"/>
                <w:sz w:val="24"/>
                <w:szCs w:val="24"/>
                <w:lang w:val="en-US" w:eastAsia="zh-CN"/>
              </w:rPr>
              <w:t>监测期间</w:t>
            </w:r>
            <w:r>
              <w:rPr>
                <w:rFonts w:hint="default" w:ascii="Times New Roman" w:hAnsi="Times New Roman" w:eastAsia="宋体" w:cs="Times New Roman"/>
                <w:b w:val="0"/>
                <w:bCs w:val="0"/>
                <w:i w:val="0"/>
                <w:iCs w:val="0"/>
                <w:smallCaps w:val="0"/>
                <w:color w:val="auto"/>
                <w:kern w:val="0"/>
                <w:sz w:val="24"/>
                <w:szCs w:val="24"/>
                <w:lang w:val="en-US" w:eastAsia="zh-CN"/>
              </w:rPr>
              <w:t>，</w:t>
            </w:r>
            <w:r>
              <w:rPr>
                <w:rFonts w:hint="eastAsia"/>
                <w:sz w:val="24"/>
                <w:szCs w:val="24"/>
                <w:vertAlign w:val="baseline"/>
                <w:lang w:val="en-US" w:eastAsia="zh-CN"/>
              </w:rPr>
              <w:t>无组织废气颗粒物及非甲烷总烃检测浓度最大值均符合</w:t>
            </w:r>
            <w:r>
              <w:rPr>
                <w:rFonts w:hint="eastAsia"/>
                <w:sz w:val="24"/>
              </w:rPr>
              <w:t>《合成树脂工业污染物排放标准》</w:t>
            </w:r>
            <w:r>
              <w:rPr>
                <w:rFonts w:hint="eastAsia"/>
                <w:sz w:val="24"/>
                <w:lang w:eastAsia="zh-CN"/>
              </w:rPr>
              <w:t>（</w:t>
            </w:r>
            <w:r>
              <w:rPr>
                <w:sz w:val="24"/>
              </w:rPr>
              <w:t>GB</w:t>
            </w:r>
            <w:r>
              <w:rPr>
                <w:rFonts w:hint="eastAsia"/>
                <w:sz w:val="24"/>
                <w:lang w:val="en-US" w:eastAsia="zh-CN"/>
              </w:rPr>
              <w:t xml:space="preserve"> </w:t>
            </w:r>
            <w:r>
              <w:rPr>
                <w:sz w:val="24"/>
              </w:rPr>
              <w:t>31572-2015</w:t>
            </w:r>
            <w:r>
              <w:rPr>
                <w:rFonts w:hint="eastAsia"/>
                <w:sz w:val="24"/>
                <w:lang w:eastAsia="zh-CN"/>
              </w:rPr>
              <w:t>）</w:t>
            </w:r>
            <w:r>
              <w:rPr>
                <w:rFonts w:hint="eastAsia"/>
                <w:sz w:val="24"/>
              </w:rPr>
              <w:t>表</w:t>
            </w:r>
            <w:r>
              <w:rPr>
                <w:rFonts w:hint="eastAsia"/>
                <w:sz w:val="24"/>
                <w:lang w:val="en-US" w:eastAsia="zh-CN"/>
              </w:rPr>
              <w:t>9</w:t>
            </w:r>
            <w:r>
              <w:rPr>
                <w:rFonts w:hint="eastAsia"/>
                <w:sz w:val="24"/>
                <w:lang w:eastAsia="zh-CN"/>
              </w:rPr>
              <w:t>“企业边界大气污染物浓度限值”要求</w:t>
            </w:r>
            <w:r>
              <w:rPr>
                <w:rFonts w:hint="eastAsia" w:ascii="Times New Roman" w:hAnsi="Times New Roman" w:eastAsia="宋体" w:cs="Times New Roman"/>
                <w:kern w:val="0"/>
                <w:sz w:val="24"/>
                <w:szCs w:val="22"/>
                <w:vertAlign w:val="baseline"/>
                <w:lang w:val="en-US" w:eastAsia="zh-CN"/>
              </w:rPr>
              <w:t>，</w:t>
            </w:r>
            <w:r>
              <w:rPr>
                <w:rFonts w:hint="eastAsia"/>
                <w:sz w:val="24"/>
                <w:lang w:eastAsia="zh-CN"/>
              </w:rPr>
              <w:t>锡及其化合物检测浓度最大值符合</w:t>
            </w:r>
            <w:r>
              <w:rPr>
                <w:rFonts w:hint="default" w:ascii="Times New Roman" w:hAnsi="Times New Roman" w:eastAsia="宋体" w:cs="Times New Roman"/>
                <w:b w:val="0"/>
                <w:bCs w:val="0"/>
                <w:sz w:val="24"/>
              </w:rPr>
              <w:t>《大气污染物综合排放标准》(GB</w:t>
            </w:r>
            <w:r>
              <w:rPr>
                <w:rFonts w:hint="default" w:ascii="Times New Roman" w:hAnsi="Times New Roman" w:eastAsia="宋体" w:cs="Times New Roman"/>
                <w:b w:val="0"/>
                <w:bCs w:val="0"/>
                <w:sz w:val="24"/>
                <w:lang w:val="en-US" w:eastAsia="zh-CN"/>
              </w:rPr>
              <w:t xml:space="preserve"> </w:t>
            </w:r>
            <w:r>
              <w:rPr>
                <w:rFonts w:hint="default" w:ascii="Times New Roman" w:hAnsi="Times New Roman" w:eastAsia="宋体" w:cs="Times New Roman"/>
                <w:b w:val="0"/>
                <w:bCs w:val="0"/>
                <w:sz w:val="24"/>
              </w:rPr>
              <w:t>16297- 1996)</w:t>
            </w:r>
            <w:r>
              <w:rPr>
                <w:rFonts w:hint="default" w:ascii="Times New Roman" w:hAnsi="Times New Roman" w:eastAsia="宋体" w:cs="Times New Roman"/>
                <w:b w:val="0"/>
                <w:bCs w:val="0"/>
                <w:sz w:val="24"/>
                <w:lang w:val="en-US" w:eastAsia="zh-CN"/>
              </w:rPr>
              <w:t>中</w:t>
            </w:r>
            <w:r>
              <w:rPr>
                <w:rFonts w:hint="default" w:ascii="Times New Roman" w:hAnsi="Times New Roman" w:eastAsia="宋体" w:cs="Times New Roman"/>
                <w:b w:val="0"/>
                <w:bCs w:val="0"/>
                <w:sz w:val="24"/>
              </w:rPr>
              <w:t>“新污染物排放限值”</w:t>
            </w:r>
            <w:r>
              <w:rPr>
                <w:rFonts w:hint="eastAsia" w:ascii="Times New Roman" w:hAnsi="Times New Roman" w:eastAsia="宋体" w:cs="Times New Roman"/>
                <w:b w:val="0"/>
                <w:bCs w:val="0"/>
                <w:sz w:val="24"/>
                <w:lang w:eastAsia="zh-CN"/>
              </w:rPr>
              <w:t>无组织</w:t>
            </w:r>
            <w:r>
              <w:rPr>
                <w:rFonts w:hint="default" w:ascii="Times New Roman" w:hAnsi="Times New Roman" w:eastAsia="宋体" w:cs="Times New Roman"/>
                <w:b w:val="0"/>
                <w:bCs w:val="0"/>
                <w:sz w:val="24"/>
                <w:lang w:val="en-US" w:eastAsia="zh-CN"/>
              </w:rPr>
              <w:t>标准限值</w:t>
            </w:r>
            <w:r>
              <w:rPr>
                <w:rFonts w:hint="eastAsia" w:ascii="Times New Roman" w:hAnsi="Times New Roman" w:eastAsia="宋体" w:cs="Times New Roman"/>
                <w:kern w:val="2"/>
                <w:sz w:val="24"/>
                <w:szCs w:val="24"/>
                <w:vertAlign w:val="baseline"/>
                <w:lang w:eastAsia="zh-CN"/>
              </w:rPr>
              <w:t>；</w:t>
            </w:r>
            <w:r>
              <w:rPr>
                <w:rFonts w:hint="default" w:ascii="Times New Roman" w:hAnsi="Times New Roman" w:eastAsia="宋体" w:cs="Times New Roman"/>
                <w:color w:val="000000"/>
                <w:kern w:val="0"/>
                <w:sz w:val="24"/>
                <w:szCs w:val="24"/>
                <w:lang w:val="en-US" w:eastAsia="zh-CN" w:bidi="ar"/>
              </w:rPr>
              <w:t>厂区内非甲烷总烃</w:t>
            </w:r>
            <w:r>
              <w:rPr>
                <w:rFonts w:hint="eastAsia" w:cs="Times New Roman"/>
                <w:color w:val="000000"/>
                <w:kern w:val="0"/>
                <w:sz w:val="24"/>
                <w:szCs w:val="24"/>
                <w:lang w:val="en-US" w:eastAsia="zh-CN" w:bidi="ar"/>
              </w:rPr>
              <w:t>检测浓度日均值符合</w:t>
            </w:r>
            <w:r>
              <w:rPr>
                <w:rFonts w:hint="eastAsia"/>
                <w:sz w:val="24"/>
              </w:rPr>
              <w:t>《挥发性有机物无组织排放控制标准》</w:t>
            </w:r>
            <w:r>
              <w:rPr>
                <w:rFonts w:hint="eastAsia"/>
                <w:sz w:val="24"/>
                <w:lang w:eastAsia="zh-CN"/>
              </w:rPr>
              <w:t>（</w:t>
            </w:r>
            <w:r>
              <w:rPr>
                <w:sz w:val="24"/>
              </w:rPr>
              <w:t>GB</w:t>
            </w:r>
            <w:r>
              <w:rPr>
                <w:rFonts w:hint="eastAsia"/>
                <w:sz w:val="24"/>
                <w:lang w:val="en-US" w:eastAsia="zh-CN"/>
              </w:rPr>
              <w:t xml:space="preserve"> </w:t>
            </w:r>
            <w:r>
              <w:rPr>
                <w:sz w:val="24"/>
              </w:rPr>
              <w:t>37822-2019</w:t>
            </w:r>
            <w:r>
              <w:rPr>
                <w:rFonts w:hint="eastAsia"/>
                <w:sz w:val="24"/>
                <w:lang w:eastAsia="zh-CN"/>
              </w:rPr>
              <w:t>）</w:t>
            </w:r>
            <w:r>
              <w:rPr>
                <w:rFonts w:hint="eastAsia" w:ascii="Times New Roman" w:hAnsi="Times New Roman" w:eastAsia="宋体" w:cs="Times New Roman"/>
                <w:color w:val="000000"/>
                <w:kern w:val="0"/>
                <w:sz w:val="24"/>
                <w:szCs w:val="24"/>
                <w:lang w:val="en-US" w:eastAsia="zh-CN" w:bidi="ar"/>
              </w:rPr>
              <w:t>中附录A表A.1“厂区内VOCs无组织排放限值”中特别排放限值</w:t>
            </w:r>
            <w:r>
              <w:rPr>
                <w:rFonts w:hint="eastAsia" w:eastAsia="宋体" w:cs="Times New Roman"/>
                <w:b w:val="0"/>
                <w:bCs w:val="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i w:val="0"/>
                <w:iCs w:val="0"/>
                <w:smallCaps w:val="0"/>
                <w:color w:val="auto"/>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cs="Times New Roman"/>
                <w:kern w:val="0"/>
                <w:sz w:val="24"/>
                <w:szCs w:val="24"/>
              </w:rPr>
            </w:pPr>
            <w:r>
              <w:rPr>
                <w:rFonts w:hint="eastAsia" w:cs="Times New Roman"/>
                <w:b/>
                <w:bCs/>
                <w:kern w:val="0"/>
                <w:sz w:val="24"/>
                <w:szCs w:val="24"/>
                <w:lang w:val="en-US" w:eastAsia="zh-CN"/>
              </w:rPr>
              <w:t>四</w:t>
            </w:r>
            <w:r>
              <w:rPr>
                <w:rFonts w:ascii="Times New Roman" w:hAnsi="Times New Roman" w:cs="Times New Roman"/>
                <w:b/>
                <w:bCs/>
                <w:kern w:val="0"/>
                <w:sz w:val="24"/>
                <w:szCs w:val="24"/>
              </w:rPr>
              <w:t>、噪声监测结果</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b w:val="0"/>
                <w:bCs/>
                <w:sz w:val="24"/>
                <w:szCs w:val="24"/>
                <w:lang w:val="en-US" w:eastAsia="zh-CN"/>
              </w:rPr>
            </w:pPr>
            <w:r>
              <w:rPr>
                <w:rFonts w:hint="eastAsia" w:ascii="Times New Roman" w:hAnsi="Times New Roman" w:cs="Times New Roman"/>
                <w:color w:val="auto"/>
                <w:kern w:val="2"/>
                <w:sz w:val="24"/>
                <w:szCs w:val="24"/>
                <w:lang w:val="en-US" w:eastAsia="zh-CN"/>
              </w:rPr>
              <w:t>根据监测结果，</w:t>
            </w:r>
            <w:r>
              <w:rPr>
                <w:rFonts w:hint="default" w:ascii="Times New Roman" w:hAnsi="Times New Roman" w:eastAsia="宋体" w:cs="Times New Roman"/>
                <w:kern w:val="2"/>
                <w:sz w:val="24"/>
                <w:szCs w:val="24"/>
                <w:lang w:val="en-US" w:eastAsia="zh-CN"/>
              </w:rPr>
              <w:t>厂界</w:t>
            </w:r>
            <w:r>
              <w:rPr>
                <w:rFonts w:hint="eastAsia" w:ascii="Times New Roman" w:hAnsi="Times New Roman" w:cs="Times New Roman"/>
                <w:kern w:val="2"/>
                <w:sz w:val="24"/>
                <w:szCs w:val="24"/>
                <w:lang w:val="en-US" w:eastAsia="zh-CN"/>
              </w:rPr>
              <w:t>1#、2#、3#、4#</w:t>
            </w:r>
            <w:r>
              <w:rPr>
                <w:rFonts w:hint="default" w:ascii="Times New Roman" w:hAnsi="Times New Roman" w:eastAsia="宋体" w:cs="Times New Roman"/>
                <w:kern w:val="2"/>
                <w:sz w:val="24"/>
                <w:szCs w:val="24"/>
                <w:lang w:val="en-US" w:eastAsia="zh-CN"/>
              </w:rPr>
              <w:t>昼间噪声监测结果均符合</w:t>
            </w:r>
            <w:r>
              <w:rPr>
                <w:rFonts w:hint="default" w:ascii="Times New Roman" w:hAnsi="Times New Roman" w:cs="Times New Roman"/>
                <w:b w:val="0"/>
                <w:bCs/>
                <w:sz w:val="24"/>
                <w:szCs w:val="24"/>
                <w:lang w:val="en-US" w:eastAsia="zh-CN"/>
              </w:rPr>
              <w:t>《</w:t>
            </w:r>
            <w:r>
              <w:rPr>
                <w:rFonts w:hint="default" w:ascii="Times New Roman" w:hAnsi="Times New Roman" w:cs="Times New Roman"/>
                <w:b w:val="0"/>
                <w:bCs/>
                <w:kern w:val="0"/>
                <w:sz w:val="24"/>
                <w:szCs w:val="24"/>
              </w:rPr>
              <w:t>工业企业厂界环境噪声排放标准</w:t>
            </w:r>
            <w:r>
              <w:rPr>
                <w:rFonts w:hint="default" w:ascii="Times New Roman" w:hAnsi="Times New Roman" w:cs="Times New Roman"/>
                <w:b w:val="0"/>
                <w:bCs/>
                <w:sz w:val="24"/>
                <w:szCs w:val="24"/>
                <w:lang w:val="en-US" w:eastAsia="zh-CN"/>
              </w:rPr>
              <w:t>》（GB 12348-2008）表1中</w:t>
            </w:r>
            <w:r>
              <w:rPr>
                <w:rFonts w:hint="eastAsia" w:ascii="Times New Roman" w:hAnsi="Times New Roman" w:cs="Times New Roman"/>
                <w:b w:val="0"/>
                <w:bCs/>
                <w:sz w:val="24"/>
                <w:szCs w:val="24"/>
                <w:lang w:val="en-US" w:eastAsia="zh-CN"/>
              </w:rPr>
              <w:t>2</w:t>
            </w:r>
            <w:r>
              <w:rPr>
                <w:rFonts w:hint="default" w:ascii="Times New Roman" w:hAnsi="Times New Roman" w:cs="Times New Roman"/>
                <w:b w:val="0"/>
                <w:bCs/>
                <w:sz w:val="24"/>
                <w:szCs w:val="24"/>
                <w:lang w:val="en-US" w:eastAsia="zh-CN"/>
              </w:rPr>
              <w:t>类区标准限值</w:t>
            </w:r>
            <w:r>
              <w:rPr>
                <w:rFonts w:hint="eastAsia" w:ascii="Times New Roman" w:hAnsi="Times New Roman" w:cs="Times New Roman"/>
                <w:b w:val="0"/>
                <w:bCs/>
                <w:sz w:val="24"/>
                <w:szCs w:val="24"/>
                <w:lang w:val="en-US" w:eastAsia="zh-CN"/>
              </w:rPr>
              <w:t>要求</w:t>
            </w:r>
            <w:r>
              <w:rPr>
                <w:rFonts w:hint="eastAsia" w:ascii="Times New Roman" w:hAnsi="Times New Roman" w:eastAsia="宋体"/>
                <w:b w:val="0"/>
                <w:bCs/>
                <w:kern w:val="2"/>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hAnsi="宋体" w:cs="宋体"/>
                <w:b/>
                <w:bCs/>
                <w:color w:val="000000"/>
                <w:sz w:val="24"/>
                <w:szCs w:val="24"/>
                <w:lang w:val="en-US" w:eastAsia="zh-CN"/>
              </w:rPr>
            </w:pP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000000"/>
                <w:sz w:val="24"/>
                <w:szCs w:val="24"/>
                <w:lang w:val="en-US" w:eastAsia="zh-CN"/>
              </w:rPr>
            </w:pPr>
            <w:r>
              <w:rPr>
                <w:rFonts w:hint="eastAsia" w:hAnsi="宋体" w:cs="宋体"/>
                <w:b/>
                <w:bCs/>
                <w:color w:val="000000"/>
                <w:sz w:val="24"/>
                <w:szCs w:val="24"/>
                <w:lang w:val="en-US" w:eastAsia="zh-CN"/>
              </w:rPr>
              <w:t>五</w:t>
            </w:r>
            <w:r>
              <w:rPr>
                <w:rFonts w:hint="default" w:ascii="Times New Roman" w:hAnsi="Times New Roman" w:eastAsia="宋体" w:cs="Times New Roman"/>
                <w:b/>
                <w:bCs/>
                <w:color w:val="000000"/>
                <w:sz w:val="24"/>
                <w:szCs w:val="24"/>
              </w:rPr>
              <w:t>、固</w:t>
            </w:r>
            <w:r>
              <w:rPr>
                <w:rFonts w:hint="eastAsia" w:ascii="Times New Roman" w:hAnsi="Times New Roman" w:cs="Times New Roman"/>
                <w:b/>
                <w:bCs/>
                <w:color w:val="000000"/>
                <w:sz w:val="24"/>
                <w:szCs w:val="24"/>
                <w:lang w:val="en-US" w:eastAsia="zh-CN"/>
              </w:rPr>
              <w:t>废</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项目产生的固废主要为一般废包装材料、边角料、废润滑油、废润滑油包装桶、含油抹布、收集尘、废活性炭、超声波清洗滤渣以及职工生活垃圾。废包装材料、边角料、收集尘经收集后外售综合利用，废润滑油、废润滑油包装桶、含油抹布、废活性炭经收集后妥善放置于厂区贮存场所，委托</w:t>
            </w:r>
            <w:r>
              <w:rPr>
                <w:rFonts w:hint="eastAsia" w:cs="Times New Roman"/>
                <w:color w:val="auto"/>
                <w:sz w:val="24"/>
                <w:szCs w:val="24"/>
                <w:lang w:val="en-US" w:eastAsia="zh-CN"/>
              </w:rPr>
              <w:t>丽水市民康医疗废物处理有限公司</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处理，清洗滤渣、生活垃圾收集后由当地环卫部门清运处理。</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本公司的危废贮存场所张贴了标识标牌，地面做了防渗、防漏、防腐措施，亦做到了防风、防雨、防晒。</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eastAsiaTheme="minorEastAsia"/>
                <w:b/>
                <w:bCs/>
                <w:color w:val="auto"/>
                <w:kern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b/>
                <w:bCs/>
                <w:color w:val="auto"/>
                <w:kern w:val="0"/>
                <w:sz w:val="24"/>
                <w:szCs w:val="24"/>
              </w:rPr>
            </w:pPr>
            <w:r>
              <w:rPr>
                <w:rFonts w:hint="eastAsia" w:cs="Times New Roman" w:eastAsiaTheme="minorEastAsia"/>
                <w:b/>
                <w:bCs/>
                <w:color w:val="auto"/>
                <w:kern w:val="0"/>
                <w:sz w:val="24"/>
                <w:szCs w:val="24"/>
                <w:lang w:val="en-US" w:eastAsia="zh-CN"/>
              </w:rPr>
              <w:t>六</w:t>
            </w:r>
            <w:r>
              <w:rPr>
                <w:rFonts w:hint="default" w:ascii="Times New Roman" w:hAnsi="Times New Roman" w:cs="Times New Roman" w:eastAsiaTheme="minorEastAsia"/>
                <w:b/>
                <w:bCs/>
                <w:color w:val="auto"/>
                <w:kern w:val="0"/>
                <w:sz w:val="24"/>
                <w:szCs w:val="24"/>
              </w:rPr>
              <w:t>、总量控制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b/>
                <w:bCs/>
                <w:sz w:val="24"/>
                <w:szCs w:val="24"/>
                <w:lang w:val="en-US" w:eastAsia="zh-CN"/>
              </w:rPr>
            </w:pPr>
            <w:r>
              <w:rPr>
                <w:rFonts w:hint="default" w:ascii="Times New Roman" w:hAnsi="Times New Roman" w:eastAsia="宋体" w:cs="Times New Roman"/>
                <w:color w:val="auto"/>
                <w:kern w:val="0"/>
                <w:sz w:val="24"/>
                <w:szCs w:val="24"/>
              </w:rPr>
              <w:t>本项目主要污染物实际的外环境排放量为：</w:t>
            </w:r>
            <w:r>
              <w:rPr>
                <w:rFonts w:hint="eastAsia" w:ascii="Times New Roman" w:hAnsi="Times New Roman" w:cs="Times New Roman"/>
                <w:color w:val="auto"/>
                <w:sz w:val="24"/>
                <w:szCs w:val="24"/>
                <w:lang w:val="en-US" w:eastAsia="zh-CN"/>
              </w:rPr>
              <w:t>CODcr0.031t/a，NH</w:t>
            </w:r>
            <w:r>
              <w:rPr>
                <w:rFonts w:hint="eastAsia" w:ascii="Times New Roman" w:hAnsi="Times New Roman" w:cs="Times New Roman"/>
                <w:color w:val="auto"/>
                <w:sz w:val="24"/>
                <w:szCs w:val="24"/>
                <w:vertAlign w:val="subscript"/>
                <w:lang w:val="en-US" w:eastAsia="zh-CN"/>
              </w:rPr>
              <w:t>3</w:t>
            </w:r>
            <w:r>
              <w:rPr>
                <w:rFonts w:hint="eastAsia" w:ascii="Times New Roman" w:hAnsi="Times New Roman" w:cs="Times New Roman"/>
                <w:color w:val="auto"/>
                <w:sz w:val="24"/>
                <w:szCs w:val="24"/>
                <w:lang w:val="en-US" w:eastAsia="zh-CN"/>
              </w:rPr>
              <w:t>-N0.003t/a，</w:t>
            </w:r>
            <w:r>
              <w:rPr>
                <w:rFonts w:hint="eastAsia" w:ascii="Times New Roman" w:hAnsi="Times New Roman" w:eastAsia="宋体" w:cs="Times New Roman"/>
                <w:color w:val="auto"/>
                <w:kern w:val="0"/>
                <w:sz w:val="24"/>
                <w:szCs w:val="24"/>
                <w:lang w:val="en-US" w:eastAsia="zh-CN"/>
              </w:rPr>
              <w:t>烟粉尘 0.01</w:t>
            </w:r>
            <w:r>
              <w:rPr>
                <w:rFonts w:hint="eastAsia" w:cs="Times New Roman"/>
                <w:color w:val="auto"/>
                <w:kern w:val="0"/>
                <w:sz w:val="24"/>
                <w:szCs w:val="24"/>
                <w:lang w:val="en-US" w:eastAsia="zh-CN"/>
              </w:rPr>
              <w:t>5</w:t>
            </w:r>
            <w:r>
              <w:rPr>
                <w:rFonts w:hint="eastAsia" w:ascii="Times New Roman" w:hAnsi="Times New Roman" w:eastAsia="宋体" w:cs="Times New Roman"/>
                <w:color w:val="auto"/>
                <w:kern w:val="0"/>
                <w:sz w:val="24"/>
                <w:szCs w:val="24"/>
                <w:lang w:val="en-US" w:eastAsia="zh-CN"/>
              </w:rPr>
              <w:t xml:space="preserve"> 吨/年，VOCs0.011 吨/年</w:t>
            </w:r>
            <w:r>
              <w:rPr>
                <w:rFonts w:hint="eastAsia"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均符合环评</w:t>
            </w:r>
            <w:r>
              <w:rPr>
                <w:rFonts w:hint="eastAsia" w:cs="Times New Roman"/>
                <w:color w:val="auto"/>
                <w:kern w:val="0"/>
                <w:sz w:val="24"/>
                <w:szCs w:val="24"/>
                <w:lang w:eastAsia="zh-CN"/>
              </w:rPr>
              <w:t>批复</w:t>
            </w:r>
            <w:r>
              <w:rPr>
                <w:rFonts w:hint="eastAsia" w:ascii="Times New Roman" w:hAnsi="Times New Roman" w:eastAsia="宋体" w:cs="Times New Roman"/>
                <w:color w:val="auto"/>
                <w:kern w:val="0"/>
                <w:sz w:val="24"/>
                <w:szCs w:val="24"/>
                <w:lang w:val="en-US" w:eastAsia="zh-CN"/>
              </w:rPr>
              <w:t>的</w:t>
            </w:r>
            <w:r>
              <w:rPr>
                <w:rFonts w:hint="default" w:ascii="Times New Roman" w:hAnsi="Times New Roman" w:eastAsia="宋体" w:cs="Times New Roman"/>
                <w:color w:val="auto"/>
                <w:kern w:val="0"/>
                <w:sz w:val="24"/>
                <w:szCs w:val="24"/>
              </w:rPr>
              <w:t>总量控制要求</w:t>
            </w:r>
            <w:r>
              <w:rPr>
                <w:rFonts w:hint="eastAsia" w:ascii="Times New Roman" w:hAnsi="Times New Roman" w:eastAsia="宋体" w:cs="Times New Roman"/>
                <w:color w:val="auto"/>
                <w:kern w:val="0"/>
                <w:sz w:val="24"/>
                <w:szCs w:val="24"/>
                <w:lang w:eastAsia="zh-CN"/>
              </w:rPr>
              <w:t>。</w:t>
            </w:r>
          </w:p>
          <w:p>
            <w:pPr>
              <w:pStyle w:val="2"/>
              <w:keepNext w:val="0"/>
              <w:keepLines w:val="0"/>
              <w:pageBreakBefore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lang w:eastAsia="zh-CN"/>
              </w:rPr>
            </w:pPr>
          </w:p>
          <w:p>
            <w:pPr>
              <w:pStyle w:val="2"/>
              <w:keepNext w:val="0"/>
              <w:keepLines w:val="0"/>
              <w:pageBreakBefore w:val="0"/>
              <w:kinsoku/>
              <w:wordWrap/>
              <w:overflowPunct/>
              <w:topLinePunct w:val="0"/>
              <w:autoSpaceDE/>
              <w:autoSpaceDN/>
              <w:bidi w:val="0"/>
              <w:spacing w:line="360" w:lineRule="auto"/>
              <w:textAlignment w:val="auto"/>
            </w:pPr>
          </w:p>
          <w:p>
            <w:pPr>
              <w:pStyle w:val="3"/>
              <w:keepNext w:val="0"/>
              <w:keepLines w:val="0"/>
              <w:pageBreakBefore w:val="0"/>
              <w:kinsoku/>
              <w:wordWrap/>
              <w:overflowPunct/>
              <w:topLinePunct w:val="0"/>
              <w:autoSpaceDE/>
              <w:autoSpaceDN/>
              <w:bidi w:val="0"/>
              <w:spacing w:line="360" w:lineRule="auto"/>
              <w:textAlignment w:val="auto"/>
            </w:pP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color w:val="FF0000"/>
                <w:szCs w:val="21"/>
              </w:rPr>
            </w:pPr>
          </w:p>
        </w:tc>
      </w:tr>
    </w:tbl>
    <w:p>
      <w:pPr>
        <w:pStyle w:val="39"/>
        <w:ind w:firstLine="0" w:firstLineChars="0"/>
        <w:jc w:val="left"/>
        <w:rPr>
          <w:rFonts w:eastAsia="宋体"/>
          <w:b/>
          <w:bCs/>
        </w:rPr>
        <w:sectPr>
          <w:footerReference r:id="rId8" w:type="default"/>
          <w:pgSz w:w="11906" w:h="16838"/>
          <w:pgMar w:top="1440" w:right="1287" w:bottom="1276" w:left="1418" w:header="851" w:footer="992" w:gutter="0"/>
          <w:pgNumType w:fmt="decimal"/>
          <w:cols w:space="720" w:num="1"/>
          <w:docGrid w:linePitch="286" w:charSpace="0"/>
        </w:sectPr>
      </w:pPr>
    </w:p>
    <w:p>
      <w:pPr>
        <w:jc w:val="center"/>
        <w:rPr>
          <w:b/>
          <w:color w:val="auto"/>
          <w:sz w:val="18"/>
          <w:szCs w:val="18"/>
        </w:rPr>
      </w:pPr>
      <w:bookmarkStart w:id="40" w:name="_Toc103603950"/>
      <w:r>
        <w:rPr>
          <w:b/>
          <w:color w:val="auto"/>
          <w:sz w:val="18"/>
          <w:szCs w:val="18"/>
        </w:rPr>
        <w:t>建设项目工程竣工环境保护“三同时”验收登记表</w:t>
      </w:r>
    </w:p>
    <w:p>
      <w:pPr>
        <w:rPr>
          <w:color w:val="auto"/>
          <w:sz w:val="18"/>
          <w:szCs w:val="18"/>
        </w:rPr>
      </w:pPr>
      <w:r>
        <w:rPr>
          <w:color w:val="auto"/>
          <w:sz w:val="18"/>
          <w:szCs w:val="18"/>
        </w:rPr>
        <w:t>填表单位（盖章）：</w:t>
      </w:r>
      <w:r>
        <w:rPr>
          <w:rFonts w:hint="eastAsia"/>
          <w:color w:val="auto"/>
          <w:sz w:val="18"/>
          <w:szCs w:val="18"/>
          <w:lang w:val="en-US" w:eastAsia="zh-CN"/>
        </w:rPr>
        <w:t xml:space="preserve">浙江维连风然传感科技有限公司           </w:t>
      </w:r>
      <w:r>
        <w:rPr>
          <w:color w:val="auto"/>
          <w:sz w:val="18"/>
          <w:szCs w:val="18"/>
        </w:rPr>
        <w:t xml:space="preserve">           填表人（签字）：                              项目经办人（签字）：</w:t>
      </w:r>
    </w:p>
    <w:tbl>
      <w:tblPr>
        <w:tblStyle w:val="32"/>
        <w:tblW w:w="160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
        <w:gridCol w:w="315"/>
        <w:gridCol w:w="1035"/>
        <w:gridCol w:w="576"/>
        <w:gridCol w:w="771"/>
        <w:gridCol w:w="1333"/>
        <w:gridCol w:w="1102"/>
        <w:gridCol w:w="826"/>
        <w:gridCol w:w="843"/>
        <w:gridCol w:w="536"/>
        <w:gridCol w:w="1241"/>
        <w:gridCol w:w="657"/>
        <w:gridCol w:w="545"/>
        <w:gridCol w:w="1706"/>
        <w:gridCol w:w="578"/>
        <w:gridCol w:w="414"/>
        <w:gridCol w:w="519"/>
        <w:gridCol w:w="659"/>
        <w:gridCol w:w="1176"/>
        <w:gridCol w:w="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restart"/>
            <w:noWrap w:val="0"/>
            <w:textDirection w:val="tbRlV"/>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建设项目</w:t>
            </w: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项目名称</w:t>
            </w:r>
          </w:p>
        </w:tc>
        <w:tc>
          <w:tcPr>
            <w:tcW w:w="5411" w:type="dxa"/>
            <w:gridSpan w:val="6"/>
            <w:noWrap w:val="0"/>
            <w:vAlign w:val="center"/>
          </w:tcPr>
          <w:p>
            <w:pPr>
              <w:pStyle w:val="24"/>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浙江维连风然传感科技有限公司新建年产智能温度传感器200万件项目</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项目代码</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olor w:val="000000"/>
                <w:sz w:val="15"/>
                <w:szCs w:val="15"/>
                <w:lang w:val="en-US" w:eastAsia="zh-CN"/>
              </w:rPr>
              <w:t>2203-330421-07-02-691836</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建设地点</w:t>
            </w:r>
          </w:p>
        </w:tc>
        <w:tc>
          <w:tcPr>
            <w:tcW w:w="274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ascii="Times New Roman" w:hAnsi="Times New Roman" w:eastAsia="宋体" w:cs="Times New Roman"/>
                <w:color w:val="auto"/>
                <w:spacing w:val="-11"/>
                <w:sz w:val="15"/>
                <w:szCs w:val="15"/>
                <w:lang w:val="en-US" w:eastAsia="zh-CN"/>
              </w:rPr>
            </w:pPr>
            <w:r>
              <w:rPr>
                <w:rFonts w:hint="eastAsia" w:cs="Times New Roman"/>
                <w:color w:val="auto"/>
                <w:spacing w:val="-11"/>
                <w:sz w:val="15"/>
                <w:szCs w:val="15"/>
                <w:lang w:val="en-US" w:eastAsia="zh-CN"/>
              </w:rPr>
              <w:t>浙江省嘉兴市嘉善县罗星街道科技大道2699号的3号楼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行业类别（分类管理名录）</w:t>
            </w:r>
          </w:p>
        </w:tc>
        <w:tc>
          <w:tcPr>
            <w:tcW w:w="5411" w:type="dxa"/>
            <w:gridSpan w:val="6"/>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color w:val="auto"/>
                <w:sz w:val="15"/>
                <w:szCs w:val="15"/>
                <w:lang w:val="en-US" w:eastAsia="zh-CN"/>
              </w:rPr>
              <w:t>C3983敏感元件及传感器制造</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建设性质</w:t>
            </w:r>
          </w:p>
        </w:tc>
        <w:tc>
          <w:tcPr>
            <w:tcW w:w="2829" w:type="dxa"/>
            <w:gridSpan w:val="3"/>
            <w:noWrap w:val="0"/>
            <w:vAlign w:val="center"/>
          </w:tcPr>
          <w:p>
            <w:pPr>
              <w:spacing w:line="240" w:lineRule="exact"/>
              <w:jc w:val="center"/>
              <w:rPr>
                <w:rFonts w:hint="default" w:ascii="Times New Roman" w:hAnsi="Times New Roman" w:cs="Times New Roman"/>
                <w:color w:val="auto"/>
                <w:sz w:val="15"/>
                <w:szCs w:val="15"/>
              </w:rPr>
            </w:pPr>
            <w:r>
              <w:rPr>
                <w:rFonts w:hint="default" w:ascii="Times New Roman" w:hAnsi="Times New Roman" w:cs="Times New Roman"/>
                <w:color w:val="auto"/>
                <w:sz w:val="15"/>
                <w:szCs w:val="15"/>
              </w:rPr>
              <w:t>√新建  □改扩建  □技术改造</w:t>
            </w:r>
          </w:p>
        </w:tc>
        <w:tc>
          <w:tcPr>
            <w:tcW w:w="1592"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项目厂区中心经度/纬度</w:t>
            </w:r>
          </w:p>
        </w:tc>
        <w:tc>
          <w:tcPr>
            <w:tcW w:w="2086"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东经120度53分29.243秒，北纬30度48分18.102秒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设计生产能力</w:t>
            </w:r>
          </w:p>
        </w:tc>
        <w:tc>
          <w:tcPr>
            <w:tcW w:w="5411" w:type="dxa"/>
            <w:gridSpan w:val="6"/>
            <w:noWrap w:val="0"/>
            <w:vAlign w:val="center"/>
          </w:tcPr>
          <w:p>
            <w:pPr>
              <w:pStyle w:val="24"/>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年产智能温度传感器200万件</w:t>
            </w:r>
          </w:p>
        </w:tc>
        <w:tc>
          <w:tcPr>
            <w:tcW w:w="189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实际生产能力</w:t>
            </w:r>
          </w:p>
        </w:tc>
        <w:tc>
          <w:tcPr>
            <w:tcW w:w="22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00" w:lineRule="exact"/>
              <w:jc w:val="center"/>
              <w:textAlignment w:val="auto"/>
              <w:rPr>
                <w:rFonts w:hint="eastAsia" w:ascii="Times New Roman" w:hAnsi="Times New Roman" w:eastAsia="宋体" w:cs="Times New Roman"/>
                <w:color w:val="auto"/>
                <w:sz w:val="15"/>
                <w:szCs w:val="15"/>
                <w:lang w:eastAsia="zh-CN"/>
              </w:rPr>
            </w:pPr>
            <w:r>
              <w:rPr>
                <w:rFonts w:hint="eastAsia" w:cs="Times New Roman"/>
                <w:color w:val="auto"/>
                <w:sz w:val="15"/>
                <w:szCs w:val="15"/>
                <w:lang w:val="en-US" w:eastAsia="zh-CN"/>
              </w:rPr>
              <w:t>年产智能温度传感器200万件</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环评单位</w:t>
            </w:r>
          </w:p>
        </w:tc>
        <w:tc>
          <w:tcPr>
            <w:tcW w:w="2745" w:type="dxa"/>
            <w:gridSpan w:val="3"/>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杭州广岩科技有限公司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环评文件审批机关</w:t>
            </w:r>
          </w:p>
        </w:tc>
        <w:tc>
          <w:tcPr>
            <w:tcW w:w="5411" w:type="dxa"/>
            <w:gridSpan w:val="6"/>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嘉兴市生态环境局</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审批文号</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color w:val="auto"/>
                <w:sz w:val="15"/>
                <w:szCs w:val="15"/>
                <w:lang w:val="en-US" w:eastAsia="zh-CN"/>
              </w:rPr>
              <w:t>嘉环（善）建[2022]109号</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环评文件类型</w:t>
            </w:r>
          </w:p>
        </w:tc>
        <w:tc>
          <w:tcPr>
            <w:tcW w:w="2745" w:type="dxa"/>
            <w:gridSpan w:val="3"/>
            <w:noWrap w:val="0"/>
            <w:vAlign w:val="center"/>
          </w:tcPr>
          <w:p>
            <w:pPr>
              <w:spacing w:line="240" w:lineRule="exact"/>
              <w:jc w:val="center"/>
              <w:rPr>
                <w:rFonts w:hint="default" w:ascii="Times New Roman" w:hAnsi="Times New Roman" w:cs="Times New Roman"/>
                <w:color w:val="auto"/>
                <w:sz w:val="15"/>
                <w:szCs w:val="15"/>
              </w:rPr>
            </w:pPr>
            <w:r>
              <w:rPr>
                <w:rFonts w:hint="default" w:ascii="Times New Roman" w:hAnsi="Times New Roman" w:cs="Times New Roman"/>
                <w:color w:val="auto"/>
                <w:sz w:val="15"/>
                <w:szCs w:val="15"/>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开工日期</w:t>
            </w:r>
          </w:p>
        </w:tc>
        <w:tc>
          <w:tcPr>
            <w:tcW w:w="5411" w:type="dxa"/>
            <w:gridSpan w:val="6"/>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2022.12</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竣工日期</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highlight w:val="none"/>
                <w:lang w:val="en-US" w:eastAsia="zh-CN"/>
              </w:rPr>
              <w:t>2023.03</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pacing w:val="-11"/>
                <w:sz w:val="15"/>
                <w:szCs w:val="15"/>
              </w:rPr>
              <w:t>排污许可证申领时间</w:t>
            </w:r>
          </w:p>
        </w:tc>
        <w:tc>
          <w:tcPr>
            <w:tcW w:w="2745" w:type="dxa"/>
            <w:gridSpan w:val="3"/>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2023.10.24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环保设施设计单位</w:t>
            </w:r>
          </w:p>
        </w:tc>
        <w:tc>
          <w:tcPr>
            <w:tcW w:w="5411" w:type="dxa"/>
            <w:gridSpan w:val="6"/>
            <w:noWrap w:val="0"/>
            <w:vAlign w:val="center"/>
          </w:tcPr>
          <w:p>
            <w:pPr>
              <w:spacing w:line="240" w:lineRule="exact"/>
              <w:jc w:val="center"/>
              <w:rPr>
                <w:rFonts w:hint="eastAsia" w:ascii="Times New Roman" w:hAnsi="Times New Roman" w:eastAsia="宋体" w:cs="Times New Roman"/>
                <w:color w:val="auto"/>
                <w:sz w:val="15"/>
                <w:szCs w:val="15"/>
                <w:lang w:val="en-US" w:eastAsia="zh-CN"/>
              </w:rPr>
            </w:pPr>
            <w:r>
              <w:rPr>
                <w:rFonts w:hint="eastAsia" w:ascii="Times New Roman" w:hAnsi="Times New Roman" w:cs="Times New Roman"/>
                <w:color w:val="auto"/>
                <w:sz w:val="15"/>
                <w:szCs w:val="15"/>
                <w:lang w:val="en-US" w:eastAsia="zh-CN"/>
              </w:rPr>
              <w:t>/</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环保设施施工单位</w:t>
            </w:r>
          </w:p>
        </w:tc>
        <w:tc>
          <w:tcPr>
            <w:tcW w:w="2251" w:type="dxa"/>
            <w:gridSpan w:val="2"/>
            <w:noWrap w:val="0"/>
            <w:vAlign w:val="center"/>
          </w:tcPr>
          <w:p>
            <w:pPr>
              <w:spacing w:line="240" w:lineRule="exact"/>
              <w:ind w:left="-88" w:leftChars="-42" w:right="-42" w:rightChars="-20"/>
              <w:jc w:val="center"/>
              <w:rPr>
                <w:rFonts w:hint="default"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本工程排污许可证编号</w:t>
            </w:r>
          </w:p>
        </w:tc>
        <w:tc>
          <w:tcPr>
            <w:tcW w:w="2745" w:type="dxa"/>
            <w:gridSpan w:val="3"/>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91330421MA7H71FA3N001Z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验收单位</w:t>
            </w:r>
          </w:p>
        </w:tc>
        <w:tc>
          <w:tcPr>
            <w:tcW w:w="5411" w:type="dxa"/>
            <w:gridSpan w:val="6"/>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浙江维连风然传感科技有限公司</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环保设施监测单位</w:t>
            </w:r>
          </w:p>
        </w:tc>
        <w:tc>
          <w:tcPr>
            <w:tcW w:w="2251" w:type="dxa"/>
            <w:gridSpan w:val="2"/>
            <w:noWrap w:val="0"/>
            <w:vAlign w:val="center"/>
          </w:tcPr>
          <w:p>
            <w:pPr>
              <w:spacing w:line="240" w:lineRule="exact"/>
              <w:jc w:val="center"/>
              <w:rPr>
                <w:rFonts w:hint="eastAsia" w:ascii="Times New Roman" w:hAnsi="Times New Roman" w:eastAsia="宋体" w:cs="Times New Roman"/>
                <w:color w:val="auto"/>
                <w:sz w:val="15"/>
                <w:szCs w:val="15"/>
                <w:lang w:eastAsia="zh-CN"/>
              </w:rPr>
            </w:pPr>
            <w:r>
              <w:rPr>
                <w:sz w:val="15"/>
                <w:szCs w:val="15"/>
              </w:rPr>
              <w:t>杭州广测环境技术有限公司</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验收监测时工况</w:t>
            </w:r>
          </w:p>
        </w:tc>
        <w:tc>
          <w:tcPr>
            <w:tcW w:w="2745" w:type="dxa"/>
            <w:gridSpan w:val="3"/>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投资总概算（万元）</w:t>
            </w:r>
          </w:p>
        </w:tc>
        <w:tc>
          <w:tcPr>
            <w:tcW w:w="5411" w:type="dxa"/>
            <w:gridSpan w:val="6"/>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2500</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环保投资总概算（万元）</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40</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所占比例（%）</w:t>
            </w:r>
          </w:p>
        </w:tc>
        <w:tc>
          <w:tcPr>
            <w:tcW w:w="2745" w:type="dxa"/>
            <w:gridSpan w:val="3"/>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实际总投资（万元）</w:t>
            </w:r>
          </w:p>
        </w:tc>
        <w:tc>
          <w:tcPr>
            <w:tcW w:w="5411" w:type="dxa"/>
            <w:gridSpan w:val="6"/>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2500</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实际环保投资（万元）</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40</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所占比例（%）</w:t>
            </w:r>
          </w:p>
        </w:tc>
        <w:tc>
          <w:tcPr>
            <w:tcW w:w="2745" w:type="dxa"/>
            <w:gridSpan w:val="3"/>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废水治理（万元）</w:t>
            </w:r>
          </w:p>
        </w:tc>
        <w:tc>
          <w:tcPr>
            <w:tcW w:w="771" w:type="dxa"/>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3</w:t>
            </w:r>
          </w:p>
        </w:tc>
        <w:tc>
          <w:tcPr>
            <w:tcW w:w="1333" w:type="dxa"/>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废气治理（万元）</w:t>
            </w:r>
          </w:p>
        </w:tc>
        <w:tc>
          <w:tcPr>
            <w:tcW w:w="1102" w:type="dxa"/>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30</w:t>
            </w:r>
          </w:p>
        </w:tc>
        <w:tc>
          <w:tcPr>
            <w:tcW w:w="1669"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噪声治理（万元）</w:t>
            </w:r>
          </w:p>
        </w:tc>
        <w:tc>
          <w:tcPr>
            <w:tcW w:w="536" w:type="dxa"/>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2</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固体废物治理（万元）</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5</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绿化及生态（万元）</w:t>
            </w:r>
          </w:p>
        </w:tc>
        <w:tc>
          <w:tcPr>
            <w:tcW w:w="659" w:type="dxa"/>
            <w:noWrap w:val="0"/>
            <w:vAlign w:val="center"/>
          </w:tcPr>
          <w:p>
            <w:pPr>
              <w:spacing w:line="240" w:lineRule="exact"/>
              <w:jc w:val="center"/>
              <w:rPr>
                <w:rFonts w:hint="eastAsia"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w:t>
            </w:r>
          </w:p>
        </w:tc>
        <w:tc>
          <w:tcPr>
            <w:tcW w:w="1176" w:type="dxa"/>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其他（万元）</w:t>
            </w:r>
          </w:p>
        </w:tc>
        <w:tc>
          <w:tcPr>
            <w:tcW w:w="910" w:type="dxa"/>
            <w:noWrap w:val="0"/>
            <w:vAlign w:val="center"/>
          </w:tcPr>
          <w:p>
            <w:pPr>
              <w:spacing w:line="240" w:lineRule="exact"/>
              <w:jc w:val="center"/>
              <w:rPr>
                <w:rFonts w:hint="eastAsia"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333"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926"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新增废水处理设施能力</w:t>
            </w:r>
          </w:p>
        </w:tc>
        <w:tc>
          <w:tcPr>
            <w:tcW w:w="5411" w:type="dxa"/>
            <w:gridSpan w:val="6"/>
            <w:noWrap w:val="0"/>
            <w:vAlign w:val="center"/>
          </w:tcPr>
          <w:p>
            <w:pPr>
              <w:spacing w:line="240" w:lineRule="exact"/>
              <w:jc w:val="center"/>
              <w:rPr>
                <w:rFonts w:hint="eastAsia"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w:t>
            </w:r>
          </w:p>
        </w:tc>
        <w:tc>
          <w:tcPr>
            <w:tcW w:w="1898" w:type="dxa"/>
            <w:gridSpan w:val="2"/>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新增废气处理设施能力</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4000m3/h</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年平均工作时</w:t>
            </w:r>
          </w:p>
        </w:tc>
        <w:tc>
          <w:tcPr>
            <w:tcW w:w="2745" w:type="dxa"/>
            <w:gridSpan w:val="3"/>
            <w:noWrap w:val="0"/>
            <w:vAlign w:val="center"/>
          </w:tcPr>
          <w:p>
            <w:pPr>
              <w:spacing w:line="240" w:lineRule="exact"/>
              <w:jc w:val="center"/>
              <w:rPr>
                <w:rFonts w:hint="default" w:ascii="Times New Roman" w:hAnsi="Times New Roman" w:cs="Times New Roman"/>
                <w:color w:val="auto"/>
                <w:sz w:val="15"/>
                <w:szCs w:val="15"/>
              </w:rPr>
            </w:pPr>
            <w:r>
              <w:rPr>
                <w:rFonts w:hint="eastAsia" w:ascii="Times New Roman" w:hAnsi="Times New Roman" w:cs="Times New Roman"/>
                <w:color w:val="auto"/>
                <w:sz w:val="15"/>
                <w:szCs w:val="15"/>
                <w:lang w:val="en-US" w:eastAsia="zh-CN"/>
              </w:rPr>
              <w:t>300</w:t>
            </w:r>
            <w:r>
              <w:rPr>
                <w:rFonts w:hint="default" w:ascii="Times New Roman" w:hAnsi="Times New Roman" w:cs="Times New Roman"/>
                <w:color w:val="auto"/>
                <w:sz w:val="15"/>
                <w:szCs w:val="15"/>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259" w:type="dxa"/>
            <w:gridSpan w:val="4"/>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运营单位</w:t>
            </w:r>
          </w:p>
        </w:tc>
        <w:tc>
          <w:tcPr>
            <w:tcW w:w="4032" w:type="dxa"/>
            <w:gridSpan w:val="4"/>
            <w:noWrap w:val="0"/>
            <w:vAlign w:val="center"/>
          </w:tcPr>
          <w:p>
            <w:pPr>
              <w:spacing w:line="240" w:lineRule="exact"/>
              <w:jc w:val="center"/>
              <w:rPr>
                <w:rFonts w:hint="default" w:ascii="Times New Roman" w:hAnsi="Times New Roman" w:cs="Times New Roman"/>
                <w:color w:val="auto"/>
                <w:sz w:val="15"/>
                <w:szCs w:val="15"/>
              </w:rPr>
            </w:pPr>
            <w:r>
              <w:rPr>
                <w:rFonts w:hint="eastAsia" w:cs="Times New Roman"/>
                <w:color w:val="auto"/>
                <w:sz w:val="15"/>
                <w:szCs w:val="15"/>
                <w:lang w:val="en-US" w:eastAsia="zh-CN"/>
              </w:rPr>
              <w:t>浙江维连风然传感科技有限公司</w:t>
            </w:r>
          </w:p>
        </w:tc>
        <w:tc>
          <w:tcPr>
            <w:tcW w:w="3277" w:type="dxa"/>
            <w:gridSpan w:val="4"/>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运营单位社会统一信用代码（或组织机构代码）</w:t>
            </w:r>
          </w:p>
        </w:tc>
        <w:tc>
          <w:tcPr>
            <w:tcW w:w="2251"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color w:val="auto"/>
                <w:sz w:val="15"/>
                <w:szCs w:val="15"/>
                <w:lang w:val="en-US" w:eastAsia="zh-CN"/>
              </w:rPr>
              <w:t>91330</w:t>
            </w:r>
            <w:r>
              <w:rPr>
                <w:rFonts w:hint="eastAsia" w:cs="Times New Roman"/>
                <w:color w:val="auto"/>
                <w:sz w:val="15"/>
                <w:szCs w:val="15"/>
                <w:lang w:val="en-US" w:eastAsia="zh-CN"/>
              </w:rPr>
              <w:t>421MA7H71FA3N</w:t>
            </w:r>
          </w:p>
        </w:tc>
        <w:tc>
          <w:tcPr>
            <w:tcW w:w="1511" w:type="dxa"/>
            <w:gridSpan w:val="3"/>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验收时间</w:t>
            </w:r>
          </w:p>
        </w:tc>
        <w:tc>
          <w:tcPr>
            <w:tcW w:w="2745" w:type="dxa"/>
            <w:gridSpan w:val="3"/>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2023</w:t>
            </w:r>
            <w:r>
              <w:rPr>
                <w:rFonts w:hint="eastAsia" w:ascii="Times New Roman" w:hAnsi="Times New Roman" w:cs="Times New Roman"/>
                <w:color w:val="auto"/>
                <w:sz w:val="15"/>
                <w:szCs w:val="15"/>
                <w:lang w:val="en-US" w:eastAsia="zh-CN"/>
              </w:rPr>
              <w:t>年</w:t>
            </w:r>
            <w:r>
              <w:rPr>
                <w:rFonts w:hint="eastAsia" w:cs="Times New Roman"/>
                <w:color w:val="auto"/>
                <w:sz w:val="15"/>
                <w:szCs w:val="15"/>
                <w:lang w:val="en-US" w:eastAsia="zh-CN"/>
              </w:rPr>
              <w:t>04</w:t>
            </w:r>
            <w:r>
              <w:rPr>
                <w:rFonts w:hint="eastAsia" w:ascii="Times New Roman" w:hAnsi="Times New Roman" w:cs="Times New Roman"/>
                <w:color w:val="auto"/>
                <w:sz w:val="15"/>
                <w:szCs w:val="15"/>
                <w:lang w:val="en-US" w:eastAsia="zh-CN"/>
              </w:rPr>
              <w:t>月</w:t>
            </w:r>
            <w:r>
              <w:rPr>
                <w:rFonts w:hint="eastAsia" w:cs="Times New Roman"/>
                <w:color w:val="auto"/>
                <w:sz w:val="15"/>
                <w:szCs w:val="15"/>
                <w:lang w:val="en-US" w:eastAsia="zh-CN"/>
              </w:rPr>
              <w:t>20</w:t>
            </w:r>
            <w:r>
              <w:rPr>
                <w:rFonts w:hint="eastAsia" w:ascii="Times New Roman" w:hAnsi="Times New Roman" w:cs="Times New Roman"/>
                <w:color w:val="auto"/>
                <w:sz w:val="15"/>
                <w:szCs w:val="15"/>
                <w:lang w:val="en-US" w:eastAsia="zh-CN"/>
              </w:rPr>
              <w:t>日-</w:t>
            </w:r>
            <w:r>
              <w:rPr>
                <w:rFonts w:hint="eastAsia" w:cs="Times New Roman"/>
                <w:color w:val="auto"/>
                <w:sz w:val="15"/>
                <w:szCs w:val="15"/>
                <w:lang w:val="en-US" w:eastAsia="zh-CN"/>
              </w:rPr>
              <w:t>04</w:t>
            </w:r>
            <w:r>
              <w:rPr>
                <w:rFonts w:hint="eastAsia" w:ascii="Times New Roman" w:hAnsi="Times New Roman" w:cs="Times New Roman"/>
                <w:color w:val="auto"/>
                <w:sz w:val="15"/>
                <w:szCs w:val="15"/>
                <w:lang w:val="en-US" w:eastAsia="zh-CN"/>
              </w:rPr>
              <w:t>月</w:t>
            </w:r>
            <w:r>
              <w:rPr>
                <w:rFonts w:hint="eastAsia" w:cs="Times New Roman"/>
                <w:color w:val="auto"/>
                <w:sz w:val="15"/>
                <w:szCs w:val="15"/>
                <w:lang w:val="en-US" w:eastAsia="zh-CN"/>
              </w:rPr>
              <w:t>2</w:t>
            </w:r>
            <w:r>
              <w:rPr>
                <w:rFonts w:hint="eastAsia" w:ascii="Times New Roman" w:hAnsi="Times New Roman" w:cs="Times New Roman"/>
                <w:color w:val="auto"/>
                <w:sz w:val="15"/>
                <w:szCs w:val="15"/>
                <w:lang w:val="en-US" w:eastAsia="zh-CN"/>
              </w:rPr>
              <w:t>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restart"/>
            <w:noWrap w:val="0"/>
            <w:vAlign w:val="center"/>
          </w:tcPr>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污染物排放达</w:t>
            </w:r>
          </w:p>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标与总量控制（工业建设项</w:t>
            </w:r>
          </w:p>
          <w:p>
            <w:pPr>
              <w:spacing w:line="240" w:lineRule="exact"/>
              <w:jc w:val="center"/>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详填）</w:t>
            </w:r>
          </w:p>
        </w:tc>
        <w:tc>
          <w:tcPr>
            <w:tcW w:w="1611" w:type="dxa"/>
            <w:gridSpan w:val="2"/>
            <w:noWrap w:val="0"/>
            <w:vAlign w:val="center"/>
          </w:tcPr>
          <w:p>
            <w:pPr>
              <w:spacing w:line="240" w:lineRule="exact"/>
              <w:jc w:val="left"/>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污染物</w:t>
            </w:r>
          </w:p>
        </w:tc>
        <w:tc>
          <w:tcPr>
            <w:tcW w:w="771"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原有排</w:t>
            </w:r>
          </w:p>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放量(1)</w:t>
            </w:r>
          </w:p>
        </w:tc>
        <w:tc>
          <w:tcPr>
            <w:tcW w:w="1333"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本期工程实际排放浓度(2)</w:t>
            </w:r>
          </w:p>
        </w:tc>
        <w:tc>
          <w:tcPr>
            <w:tcW w:w="1102"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本期工程允许排放浓度(3)</w:t>
            </w:r>
          </w:p>
        </w:tc>
        <w:tc>
          <w:tcPr>
            <w:tcW w:w="826"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本期工程产生量(4)</w:t>
            </w:r>
          </w:p>
        </w:tc>
        <w:tc>
          <w:tcPr>
            <w:tcW w:w="1379" w:type="dxa"/>
            <w:gridSpan w:val="2"/>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本期工程自身削减量(5)</w:t>
            </w:r>
          </w:p>
        </w:tc>
        <w:tc>
          <w:tcPr>
            <w:tcW w:w="1241"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本期工程实际排放量(6)</w:t>
            </w:r>
          </w:p>
        </w:tc>
        <w:tc>
          <w:tcPr>
            <w:tcW w:w="1202" w:type="dxa"/>
            <w:gridSpan w:val="2"/>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本期工程核定排放总量(7)</w:t>
            </w:r>
          </w:p>
        </w:tc>
        <w:tc>
          <w:tcPr>
            <w:tcW w:w="1706"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本期工程“以新带老”削减量(8)</w:t>
            </w:r>
          </w:p>
        </w:tc>
        <w:tc>
          <w:tcPr>
            <w:tcW w:w="992" w:type="dxa"/>
            <w:gridSpan w:val="2"/>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全厂实际排放总量(9)</w:t>
            </w:r>
          </w:p>
        </w:tc>
        <w:tc>
          <w:tcPr>
            <w:tcW w:w="1178" w:type="dxa"/>
            <w:gridSpan w:val="2"/>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全厂核定排放总量(10)</w:t>
            </w:r>
          </w:p>
        </w:tc>
        <w:tc>
          <w:tcPr>
            <w:tcW w:w="1176"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区域平衡替代削减量(11)</w:t>
            </w:r>
          </w:p>
        </w:tc>
        <w:tc>
          <w:tcPr>
            <w:tcW w:w="910" w:type="dxa"/>
            <w:noWrap w:val="0"/>
            <w:vAlign w:val="center"/>
          </w:tcPr>
          <w:p>
            <w:pPr>
              <w:widowControl/>
              <w:spacing w:line="240" w:lineRule="exact"/>
              <w:rPr>
                <w:rFonts w:hint="default" w:ascii="Times New Roman" w:hAnsi="Times New Roman" w:cs="Times New Roman"/>
                <w:b/>
                <w:color w:val="auto"/>
                <w:kern w:val="0"/>
                <w:sz w:val="15"/>
                <w:szCs w:val="15"/>
              </w:rPr>
            </w:pPr>
            <w:r>
              <w:rPr>
                <w:rFonts w:hint="default" w:ascii="Times New Roman" w:hAnsi="Times New Roman" w:cs="Times New Roman"/>
                <w:b/>
                <w:bCs/>
                <w:color w:val="auto"/>
                <w:kern w:val="0"/>
                <w:sz w:val="15"/>
                <w:szCs w:val="15"/>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611" w:type="dxa"/>
            <w:gridSpan w:val="2"/>
            <w:noWrap w:val="0"/>
            <w:vAlign w:val="center"/>
          </w:tcPr>
          <w:p>
            <w:pPr>
              <w:spacing w:line="240" w:lineRule="exact"/>
              <w:rPr>
                <w:rFonts w:hint="default" w:ascii="Times New Roman" w:hAnsi="Times New Roman" w:cs="Times New Roman"/>
                <w:color w:val="auto"/>
                <w:sz w:val="15"/>
                <w:szCs w:val="15"/>
              </w:rPr>
            </w:pPr>
            <w:r>
              <w:rPr>
                <w:rFonts w:hint="default" w:ascii="Times New Roman" w:hAnsi="Times New Roman" w:eastAsia="黑体" w:cs="Times New Roman"/>
                <w:b/>
                <w:color w:val="auto"/>
                <w:sz w:val="15"/>
                <w:szCs w:val="15"/>
              </w:rPr>
              <w:t>废水</w:t>
            </w:r>
          </w:p>
        </w:tc>
        <w:tc>
          <w:tcPr>
            <w:tcW w:w="771" w:type="dxa"/>
            <w:noWrap w:val="0"/>
            <w:vAlign w:val="center"/>
          </w:tcPr>
          <w:p>
            <w:pPr>
              <w:spacing w:line="240" w:lineRule="exact"/>
              <w:jc w:val="center"/>
              <w:rPr>
                <w:rFonts w:hint="default" w:ascii="Times New Roman" w:hAnsi="Times New Roman" w:cs="Times New Roman"/>
                <w:color w:val="auto"/>
                <w:sz w:val="15"/>
                <w:szCs w:val="15"/>
              </w:rPr>
            </w:pPr>
          </w:p>
        </w:tc>
        <w:tc>
          <w:tcPr>
            <w:tcW w:w="1333" w:type="dxa"/>
            <w:noWrap w:val="0"/>
            <w:vAlign w:val="center"/>
          </w:tcPr>
          <w:p>
            <w:pPr>
              <w:spacing w:line="240" w:lineRule="exact"/>
              <w:jc w:val="center"/>
              <w:rPr>
                <w:rFonts w:hint="default" w:ascii="Times New Roman" w:hAnsi="Times New Roman" w:cs="Times New Roman"/>
                <w:color w:val="auto"/>
                <w:sz w:val="15"/>
                <w:szCs w:val="15"/>
              </w:rPr>
            </w:pPr>
          </w:p>
        </w:tc>
        <w:tc>
          <w:tcPr>
            <w:tcW w:w="1102" w:type="dxa"/>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p>
        </w:tc>
        <w:tc>
          <w:tcPr>
            <w:tcW w:w="826" w:type="dxa"/>
            <w:noWrap w:val="0"/>
            <w:vAlign w:val="center"/>
          </w:tcPr>
          <w:p>
            <w:pPr>
              <w:spacing w:line="240" w:lineRule="exact"/>
              <w:jc w:val="center"/>
              <w:rPr>
                <w:rFonts w:hint="default" w:ascii="Times New Roman" w:hAnsi="Times New Roman" w:cs="Times New Roman"/>
                <w:color w:val="auto"/>
                <w:sz w:val="15"/>
                <w:szCs w:val="15"/>
              </w:rPr>
            </w:pPr>
          </w:p>
        </w:tc>
        <w:tc>
          <w:tcPr>
            <w:tcW w:w="1379" w:type="dxa"/>
            <w:gridSpan w:val="2"/>
            <w:noWrap w:val="0"/>
            <w:vAlign w:val="center"/>
          </w:tcPr>
          <w:p>
            <w:pPr>
              <w:spacing w:line="240" w:lineRule="exact"/>
              <w:jc w:val="center"/>
              <w:rPr>
                <w:rFonts w:hint="default" w:ascii="Times New Roman" w:hAnsi="Times New Roman" w:cs="Times New Roman"/>
                <w:color w:val="auto"/>
                <w:sz w:val="15"/>
                <w:szCs w:val="15"/>
              </w:rPr>
            </w:pPr>
          </w:p>
        </w:tc>
        <w:tc>
          <w:tcPr>
            <w:tcW w:w="1241" w:type="dxa"/>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p>
        </w:tc>
        <w:tc>
          <w:tcPr>
            <w:tcW w:w="1202"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p>
        </w:tc>
        <w:tc>
          <w:tcPr>
            <w:tcW w:w="1706" w:type="dxa"/>
            <w:noWrap w:val="0"/>
            <w:vAlign w:val="center"/>
          </w:tcPr>
          <w:p>
            <w:pPr>
              <w:spacing w:line="240" w:lineRule="exact"/>
              <w:jc w:val="center"/>
              <w:rPr>
                <w:rFonts w:hint="default" w:ascii="Times New Roman" w:hAnsi="Times New Roman" w:cs="Times New Roman"/>
                <w:color w:val="auto"/>
                <w:sz w:val="15"/>
                <w:szCs w:val="15"/>
              </w:rPr>
            </w:pPr>
          </w:p>
        </w:tc>
        <w:tc>
          <w:tcPr>
            <w:tcW w:w="992"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615.4</w:t>
            </w:r>
          </w:p>
        </w:tc>
        <w:tc>
          <w:tcPr>
            <w:tcW w:w="1178"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637.5</w:t>
            </w:r>
          </w:p>
        </w:tc>
        <w:tc>
          <w:tcPr>
            <w:tcW w:w="1176" w:type="dxa"/>
            <w:noWrap w:val="0"/>
            <w:vAlign w:val="center"/>
          </w:tcPr>
          <w:p>
            <w:pPr>
              <w:spacing w:line="240" w:lineRule="exact"/>
              <w:jc w:val="center"/>
              <w:rPr>
                <w:rFonts w:hint="eastAsia" w:ascii="Times New Roman" w:hAnsi="Times New Roman" w:eastAsia="宋体" w:cs="Times New Roman"/>
                <w:color w:val="auto"/>
                <w:sz w:val="15"/>
                <w:szCs w:val="15"/>
                <w:lang w:val="en-US" w:eastAsia="zh-CN"/>
              </w:rPr>
            </w:pPr>
          </w:p>
        </w:tc>
        <w:tc>
          <w:tcPr>
            <w:tcW w:w="910" w:type="dxa"/>
            <w:noWrap w:val="0"/>
            <w:vAlign w:val="center"/>
          </w:tcPr>
          <w:p>
            <w:pPr>
              <w:spacing w:line="240" w:lineRule="exact"/>
              <w:jc w:val="center"/>
              <w:rPr>
                <w:rFonts w:hint="default" w:ascii="Times New Roman" w:hAnsi="Times New Roman" w:cs="Times New Roman"/>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611" w:type="dxa"/>
            <w:gridSpan w:val="2"/>
            <w:noWrap w:val="0"/>
            <w:vAlign w:val="center"/>
          </w:tcPr>
          <w:p>
            <w:pPr>
              <w:spacing w:line="240" w:lineRule="exact"/>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化学需氧量</w:t>
            </w:r>
          </w:p>
        </w:tc>
        <w:tc>
          <w:tcPr>
            <w:tcW w:w="771" w:type="dxa"/>
            <w:noWrap w:val="0"/>
            <w:vAlign w:val="center"/>
          </w:tcPr>
          <w:p>
            <w:pPr>
              <w:spacing w:line="240" w:lineRule="exact"/>
              <w:jc w:val="center"/>
              <w:rPr>
                <w:rFonts w:hint="default" w:ascii="Times New Roman" w:hAnsi="Times New Roman" w:cs="Times New Roman"/>
                <w:color w:val="auto"/>
                <w:sz w:val="15"/>
                <w:szCs w:val="15"/>
              </w:rPr>
            </w:pPr>
          </w:p>
        </w:tc>
        <w:tc>
          <w:tcPr>
            <w:tcW w:w="1333" w:type="dxa"/>
            <w:noWrap w:val="0"/>
            <w:vAlign w:val="center"/>
          </w:tcPr>
          <w:p>
            <w:pPr>
              <w:spacing w:line="240" w:lineRule="exact"/>
              <w:jc w:val="center"/>
              <w:rPr>
                <w:rFonts w:hint="default" w:ascii="Times New Roman" w:hAnsi="Times New Roman" w:cs="Times New Roman"/>
                <w:color w:val="FF0000"/>
                <w:sz w:val="15"/>
                <w:szCs w:val="15"/>
              </w:rPr>
            </w:pPr>
          </w:p>
        </w:tc>
        <w:tc>
          <w:tcPr>
            <w:tcW w:w="1102" w:type="dxa"/>
            <w:noWrap w:val="0"/>
            <w:vAlign w:val="center"/>
          </w:tcPr>
          <w:p>
            <w:pPr>
              <w:spacing w:line="240" w:lineRule="exact"/>
              <w:jc w:val="center"/>
              <w:rPr>
                <w:rFonts w:hint="eastAsia" w:ascii="Times New Roman" w:hAnsi="Times New Roman" w:eastAsia="宋体" w:cs="Times New Roman"/>
                <w:color w:val="auto"/>
                <w:sz w:val="15"/>
                <w:szCs w:val="15"/>
                <w:lang w:val="en-US" w:eastAsia="zh-CN"/>
              </w:rPr>
            </w:pPr>
          </w:p>
        </w:tc>
        <w:tc>
          <w:tcPr>
            <w:tcW w:w="826" w:type="dxa"/>
            <w:noWrap w:val="0"/>
            <w:vAlign w:val="center"/>
          </w:tcPr>
          <w:p>
            <w:pPr>
              <w:spacing w:line="240" w:lineRule="exact"/>
              <w:jc w:val="center"/>
              <w:rPr>
                <w:rFonts w:hint="default" w:ascii="Times New Roman" w:hAnsi="Times New Roman" w:cs="Times New Roman"/>
                <w:color w:val="FF0000"/>
                <w:sz w:val="15"/>
                <w:szCs w:val="15"/>
              </w:rPr>
            </w:pPr>
          </w:p>
        </w:tc>
        <w:tc>
          <w:tcPr>
            <w:tcW w:w="1379"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241" w:type="dxa"/>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202" w:type="dxa"/>
            <w:gridSpan w:val="2"/>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706" w:type="dxa"/>
            <w:noWrap w:val="0"/>
            <w:vAlign w:val="center"/>
          </w:tcPr>
          <w:p>
            <w:pPr>
              <w:spacing w:line="240" w:lineRule="exact"/>
              <w:jc w:val="center"/>
              <w:rPr>
                <w:rFonts w:hint="default" w:ascii="Times New Roman" w:hAnsi="Times New Roman" w:cs="Times New Roman"/>
                <w:color w:val="FF0000"/>
                <w:sz w:val="15"/>
                <w:szCs w:val="15"/>
              </w:rPr>
            </w:pPr>
          </w:p>
        </w:tc>
        <w:tc>
          <w:tcPr>
            <w:tcW w:w="99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default" w:ascii="Times New Roman" w:hAnsi="Times New Roman" w:cs="Times New Roman"/>
                <w:color w:val="auto"/>
                <w:sz w:val="15"/>
                <w:szCs w:val="15"/>
                <w:lang w:val="en-US" w:eastAsia="zh-CN"/>
              </w:rPr>
              <w:t>0.03</w:t>
            </w:r>
            <w:r>
              <w:rPr>
                <w:rFonts w:hint="eastAsia" w:cs="Times New Roman"/>
                <w:color w:val="auto"/>
                <w:sz w:val="15"/>
                <w:szCs w:val="15"/>
                <w:lang w:val="en-US" w:eastAsia="zh-CN"/>
              </w:rPr>
              <w:t>1</w:t>
            </w:r>
          </w:p>
        </w:tc>
        <w:tc>
          <w:tcPr>
            <w:tcW w:w="1178"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0.032</w:t>
            </w:r>
          </w:p>
        </w:tc>
        <w:tc>
          <w:tcPr>
            <w:tcW w:w="1176" w:type="dxa"/>
            <w:noWrap w:val="0"/>
            <w:vAlign w:val="center"/>
          </w:tcPr>
          <w:p>
            <w:pPr>
              <w:spacing w:line="240" w:lineRule="exact"/>
              <w:jc w:val="center"/>
              <w:rPr>
                <w:rFonts w:hint="eastAsia" w:ascii="Times New Roman" w:hAnsi="Times New Roman" w:eastAsia="宋体" w:cs="Times New Roman"/>
                <w:color w:val="FF0000"/>
                <w:sz w:val="15"/>
                <w:szCs w:val="15"/>
                <w:lang w:val="en-US" w:eastAsia="zh-CN"/>
              </w:rPr>
            </w:pPr>
          </w:p>
        </w:tc>
        <w:tc>
          <w:tcPr>
            <w:tcW w:w="910" w:type="dxa"/>
            <w:noWrap w:val="0"/>
            <w:vAlign w:val="center"/>
          </w:tcPr>
          <w:p>
            <w:pPr>
              <w:spacing w:line="240" w:lineRule="exact"/>
              <w:jc w:val="center"/>
              <w:rPr>
                <w:rFonts w:hint="default" w:ascii="Times New Roman" w:hAnsi="Times New Roman" w:cs="Times New Roman"/>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611" w:type="dxa"/>
            <w:gridSpan w:val="2"/>
            <w:noWrap w:val="0"/>
            <w:vAlign w:val="center"/>
          </w:tcPr>
          <w:p>
            <w:pPr>
              <w:spacing w:line="240" w:lineRule="exact"/>
              <w:rPr>
                <w:rFonts w:hint="default" w:ascii="Times New Roman" w:hAnsi="Times New Roman" w:cs="Times New Roman"/>
                <w:b/>
                <w:color w:val="auto"/>
                <w:sz w:val="15"/>
                <w:szCs w:val="15"/>
              </w:rPr>
            </w:pPr>
            <w:r>
              <w:rPr>
                <w:rFonts w:hint="default" w:ascii="Times New Roman" w:hAnsi="Times New Roman" w:cs="Times New Roman"/>
                <w:b/>
                <w:color w:val="auto"/>
                <w:sz w:val="15"/>
                <w:szCs w:val="15"/>
              </w:rPr>
              <w:t>氨氮</w:t>
            </w:r>
          </w:p>
        </w:tc>
        <w:tc>
          <w:tcPr>
            <w:tcW w:w="771" w:type="dxa"/>
            <w:noWrap w:val="0"/>
            <w:vAlign w:val="center"/>
          </w:tcPr>
          <w:p>
            <w:pPr>
              <w:spacing w:line="240" w:lineRule="exact"/>
              <w:jc w:val="center"/>
              <w:rPr>
                <w:rFonts w:hint="default" w:ascii="Times New Roman" w:hAnsi="Times New Roman" w:cs="Times New Roman"/>
                <w:color w:val="auto"/>
                <w:sz w:val="15"/>
                <w:szCs w:val="15"/>
              </w:rPr>
            </w:pPr>
          </w:p>
        </w:tc>
        <w:tc>
          <w:tcPr>
            <w:tcW w:w="1333" w:type="dxa"/>
            <w:noWrap w:val="0"/>
            <w:vAlign w:val="center"/>
          </w:tcPr>
          <w:p>
            <w:pPr>
              <w:spacing w:line="240" w:lineRule="exact"/>
              <w:jc w:val="center"/>
              <w:rPr>
                <w:rFonts w:hint="default" w:ascii="Times New Roman" w:hAnsi="Times New Roman" w:cs="Times New Roman"/>
                <w:color w:val="FF0000"/>
                <w:sz w:val="15"/>
                <w:szCs w:val="15"/>
              </w:rPr>
            </w:pPr>
          </w:p>
        </w:tc>
        <w:tc>
          <w:tcPr>
            <w:tcW w:w="1102" w:type="dxa"/>
            <w:noWrap w:val="0"/>
            <w:vAlign w:val="center"/>
          </w:tcPr>
          <w:p>
            <w:pPr>
              <w:spacing w:line="240" w:lineRule="exact"/>
              <w:jc w:val="center"/>
              <w:rPr>
                <w:rFonts w:hint="eastAsia" w:ascii="Times New Roman" w:hAnsi="Times New Roman" w:eastAsia="宋体" w:cs="Times New Roman"/>
                <w:color w:val="auto"/>
                <w:sz w:val="15"/>
                <w:szCs w:val="15"/>
                <w:lang w:val="en-US" w:eastAsia="zh-CN"/>
              </w:rPr>
            </w:pPr>
          </w:p>
        </w:tc>
        <w:tc>
          <w:tcPr>
            <w:tcW w:w="826" w:type="dxa"/>
            <w:noWrap w:val="0"/>
            <w:vAlign w:val="center"/>
          </w:tcPr>
          <w:p>
            <w:pPr>
              <w:spacing w:line="240" w:lineRule="exact"/>
              <w:jc w:val="center"/>
              <w:rPr>
                <w:rFonts w:hint="default" w:ascii="Times New Roman" w:hAnsi="Times New Roman" w:cs="Times New Roman"/>
                <w:color w:val="FF0000"/>
                <w:sz w:val="15"/>
                <w:szCs w:val="15"/>
              </w:rPr>
            </w:pPr>
          </w:p>
        </w:tc>
        <w:tc>
          <w:tcPr>
            <w:tcW w:w="1379"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241" w:type="dxa"/>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202" w:type="dxa"/>
            <w:gridSpan w:val="2"/>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706" w:type="dxa"/>
            <w:noWrap w:val="0"/>
            <w:vAlign w:val="center"/>
          </w:tcPr>
          <w:p>
            <w:pPr>
              <w:spacing w:line="240" w:lineRule="exact"/>
              <w:jc w:val="center"/>
              <w:rPr>
                <w:rFonts w:hint="default" w:ascii="Times New Roman" w:hAnsi="Times New Roman" w:cs="Times New Roman"/>
                <w:color w:val="FF0000"/>
                <w:sz w:val="15"/>
                <w:szCs w:val="15"/>
              </w:rPr>
            </w:pPr>
          </w:p>
        </w:tc>
        <w:tc>
          <w:tcPr>
            <w:tcW w:w="99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default" w:ascii="Times New Roman" w:hAnsi="Times New Roman" w:cs="Times New Roman"/>
                <w:color w:val="auto"/>
                <w:sz w:val="15"/>
                <w:szCs w:val="15"/>
                <w:lang w:val="en-US" w:eastAsia="zh-CN"/>
              </w:rPr>
              <w:t>0.003</w:t>
            </w:r>
          </w:p>
        </w:tc>
        <w:tc>
          <w:tcPr>
            <w:tcW w:w="1178"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r>
              <w:rPr>
                <w:rFonts w:hint="eastAsia" w:cs="Times New Roman"/>
                <w:color w:val="auto"/>
                <w:sz w:val="15"/>
                <w:szCs w:val="15"/>
                <w:lang w:val="en-US" w:eastAsia="zh-CN"/>
              </w:rPr>
              <w:t>0.003</w:t>
            </w:r>
          </w:p>
        </w:tc>
        <w:tc>
          <w:tcPr>
            <w:tcW w:w="1176" w:type="dxa"/>
            <w:noWrap w:val="0"/>
            <w:vAlign w:val="center"/>
          </w:tcPr>
          <w:p>
            <w:pPr>
              <w:spacing w:line="240" w:lineRule="exact"/>
              <w:jc w:val="center"/>
              <w:rPr>
                <w:rFonts w:hint="eastAsia" w:ascii="Times New Roman" w:hAnsi="Times New Roman" w:eastAsia="宋体" w:cs="Times New Roman"/>
                <w:color w:val="FF0000"/>
                <w:sz w:val="15"/>
                <w:szCs w:val="15"/>
                <w:lang w:val="en-US" w:eastAsia="zh-CN"/>
              </w:rPr>
            </w:pPr>
          </w:p>
        </w:tc>
        <w:tc>
          <w:tcPr>
            <w:tcW w:w="910" w:type="dxa"/>
            <w:noWrap w:val="0"/>
            <w:vAlign w:val="center"/>
          </w:tcPr>
          <w:p>
            <w:pPr>
              <w:spacing w:line="240" w:lineRule="exact"/>
              <w:jc w:val="center"/>
              <w:rPr>
                <w:rFonts w:hint="default" w:ascii="Times New Roman" w:hAnsi="Times New Roman" w:cs="Times New Roman"/>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611" w:type="dxa"/>
            <w:gridSpan w:val="2"/>
            <w:noWrap w:val="0"/>
            <w:vAlign w:val="center"/>
          </w:tcPr>
          <w:p>
            <w:pPr>
              <w:spacing w:line="240" w:lineRule="exact"/>
              <w:rPr>
                <w:rFonts w:hint="eastAsia" w:ascii="Times New Roman" w:hAnsi="Times New Roman" w:eastAsia="宋体" w:cs="Times New Roman"/>
                <w:b/>
                <w:color w:val="auto"/>
                <w:sz w:val="15"/>
                <w:szCs w:val="15"/>
                <w:lang w:eastAsia="zh-CN"/>
              </w:rPr>
            </w:pPr>
            <w:r>
              <w:rPr>
                <w:rFonts w:hint="eastAsia" w:ascii="Times New Roman" w:hAnsi="Times New Roman" w:eastAsia="黑体" w:cs="Times New Roman"/>
                <w:b/>
                <w:color w:val="auto"/>
                <w:sz w:val="15"/>
                <w:szCs w:val="15"/>
                <w:lang w:eastAsia="zh-CN"/>
              </w:rPr>
              <w:t>烟（粉）尘</w:t>
            </w:r>
          </w:p>
        </w:tc>
        <w:tc>
          <w:tcPr>
            <w:tcW w:w="771" w:type="dxa"/>
            <w:noWrap w:val="0"/>
            <w:vAlign w:val="center"/>
          </w:tcPr>
          <w:p>
            <w:pPr>
              <w:spacing w:line="240" w:lineRule="exact"/>
              <w:jc w:val="center"/>
              <w:rPr>
                <w:rFonts w:hint="default" w:ascii="Times New Roman" w:hAnsi="Times New Roman" w:cs="Times New Roman"/>
                <w:color w:val="auto"/>
                <w:sz w:val="15"/>
                <w:szCs w:val="15"/>
              </w:rPr>
            </w:pPr>
          </w:p>
        </w:tc>
        <w:tc>
          <w:tcPr>
            <w:tcW w:w="1333" w:type="dxa"/>
            <w:noWrap w:val="0"/>
            <w:vAlign w:val="center"/>
          </w:tcPr>
          <w:p>
            <w:pPr>
              <w:spacing w:line="240" w:lineRule="exact"/>
              <w:jc w:val="center"/>
              <w:rPr>
                <w:rFonts w:hint="default" w:ascii="Times New Roman" w:hAnsi="Times New Roman" w:cs="Times New Roman"/>
                <w:color w:val="FF0000"/>
                <w:sz w:val="15"/>
                <w:szCs w:val="15"/>
              </w:rPr>
            </w:pPr>
          </w:p>
        </w:tc>
        <w:tc>
          <w:tcPr>
            <w:tcW w:w="1102" w:type="dxa"/>
            <w:noWrap w:val="0"/>
            <w:vAlign w:val="center"/>
          </w:tcPr>
          <w:p>
            <w:pPr>
              <w:spacing w:line="240" w:lineRule="exact"/>
              <w:jc w:val="center"/>
              <w:rPr>
                <w:rFonts w:hint="eastAsia" w:ascii="Times New Roman" w:hAnsi="Times New Roman" w:eastAsia="宋体" w:cs="Times New Roman"/>
                <w:color w:val="FF0000"/>
                <w:sz w:val="15"/>
                <w:szCs w:val="15"/>
                <w:lang w:val="en-US" w:eastAsia="zh-CN"/>
              </w:rPr>
            </w:pPr>
          </w:p>
        </w:tc>
        <w:tc>
          <w:tcPr>
            <w:tcW w:w="826" w:type="dxa"/>
            <w:noWrap w:val="0"/>
            <w:vAlign w:val="center"/>
          </w:tcPr>
          <w:p>
            <w:pPr>
              <w:spacing w:line="240" w:lineRule="exact"/>
              <w:jc w:val="center"/>
              <w:rPr>
                <w:rFonts w:hint="default" w:ascii="Times New Roman" w:hAnsi="Times New Roman" w:cs="Times New Roman"/>
                <w:color w:val="FF0000"/>
                <w:sz w:val="15"/>
                <w:szCs w:val="15"/>
              </w:rPr>
            </w:pPr>
          </w:p>
        </w:tc>
        <w:tc>
          <w:tcPr>
            <w:tcW w:w="1379"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241" w:type="dxa"/>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202" w:type="dxa"/>
            <w:gridSpan w:val="2"/>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706" w:type="dxa"/>
            <w:noWrap w:val="0"/>
            <w:vAlign w:val="center"/>
          </w:tcPr>
          <w:p>
            <w:pPr>
              <w:spacing w:line="240" w:lineRule="exact"/>
              <w:jc w:val="center"/>
              <w:rPr>
                <w:rFonts w:hint="default" w:ascii="Times New Roman" w:hAnsi="Times New Roman" w:cs="Times New Roman"/>
                <w:color w:val="FF0000"/>
                <w:sz w:val="15"/>
                <w:szCs w:val="15"/>
              </w:rPr>
            </w:pPr>
          </w:p>
        </w:tc>
        <w:tc>
          <w:tcPr>
            <w:tcW w:w="99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highlight w:val="red"/>
                <w:lang w:val="en-US" w:eastAsia="zh-CN"/>
              </w:rPr>
            </w:pPr>
            <w:r>
              <w:rPr>
                <w:rFonts w:hint="default" w:ascii="Times New Roman" w:hAnsi="Times New Roman" w:eastAsia="宋体" w:cs="Times New Roman"/>
                <w:color w:val="auto"/>
                <w:sz w:val="15"/>
                <w:szCs w:val="15"/>
                <w:lang w:val="en-US" w:eastAsia="zh-CN"/>
              </w:rPr>
              <w:t>0.0</w:t>
            </w:r>
            <w:r>
              <w:rPr>
                <w:rFonts w:hint="eastAsia" w:cs="Times New Roman"/>
                <w:color w:val="auto"/>
                <w:sz w:val="15"/>
                <w:szCs w:val="15"/>
                <w:lang w:val="en-US" w:eastAsia="zh-CN"/>
              </w:rPr>
              <w:t>15</w:t>
            </w: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highlight w:val="red"/>
                <w:lang w:val="en-US" w:eastAsia="zh-CN"/>
              </w:rPr>
            </w:pPr>
            <w:r>
              <w:rPr>
                <w:rFonts w:hint="default" w:ascii="Times New Roman" w:hAnsi="Times New Roman" w:eastAsia="宋体" w:cs="Times New Roman"/>
                <w:color w:val="auto"/>
                <w:sz w:val="15"/>
                <w:szCs w:val="15"/>
                <w:lang w:val="en-US" w:eastAsia="zh-CN"/>
              </w:rPr>
              <w:t>0.018</w:t>
            </w:r>
          </w:p>
        </w:tc>
        <w:tc>
          <w:tcPr>
            <w:tcW w:w="1176" w:type="dxa"/>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910" w:type="dxa"/>
            <w:noWrap w:val="0"/>
            <w:vAlign w:val="center"/>
          </w:tcPr>
          <w:p>
            <w:pPr>
              <w:spacing w:line="240" w:lineRule="exact"/>
              <w:jc w:val="center"/>
              <w:rPr>
                <w:rFonts w:hint="default" w:ascii="Times New Roman" w:hAnsi="Times New Roman" w:cs="Times New Roman"/>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611" w:type="dxa"/>
            <w:gridSpan w:val="2"/>
            <w:noWrap w:val="0"/>
            <w:vAlign w:val="center"/>
          </w:tcPr>
          <w:p>
            <w:pPr>
              <w:spacing w:line="240" w:lineRule="exact"/>
              <w:rPr>
                <w:rFonts w:hint="eastAsia" w:ascii="Times New Roman" w:hAnsi="Times New Roman" w:eastAsia="宋体" w:cs="Times New Roman"/>
                <w:b/>
                <w:color w:val="auto"/>
                <w:sz w:val="15"/>
                <w:szCs w:val="15"/>
                <w:lang w:val="en-US" w:eastAsia="zh-CN"/>
              </w:rPr>
            </w:pPr>
            <w:r>
              <w:rPr>
                <w:rFonts w:hint="default" w:ascii="Times New Roman" w:hAnsi="Times New Roman" w:cs="Times New Roman"/>
                <w:b/>
                <w:color w:val="auto"/>
                <w:sz w:val="15"/>
                <w:szCs w:val="15"/>
              </w:rPr>
              <w:t>VOC</w:t>
            </w:r>
            <w:r>
              <w:rPr>
                <w:rFonts w:hint="eastAsia" w:ascii="Times New Roman" w:hAnsi="Times New Roman" w:cs="Times New Roman"/>
                <w:b/>
                <w:color w:val="auto"/>
                <w:sz w:val="15"/>
                <w:szCs w:val="15"/>
                <w:lang w:val="en-US" w:eastAsia="zh-CN"/>
              </w:rPr>
              <w:t>s</w:t>
            </w:r>
          </w:p>
        </w:tc>
        <w:tc>
          <w:tcPr>
            <w:tcW w:w="771" w:type="dxa"/>
            <w:noWrap w:val="0"/>
            <w:vAlign w:val="center"/>
          </w:tcPr>
          <w:p>
            <w:pPr>
              <w:spacing w:line="240" w:lineRule="exact"/>
              <w:jc w:val="center"/>
              <w:rPr>
                <w:rFonts w:hint="default" w:ascii="Times New Roman" w:hAnsi="Times New Roman" w:cs="Times New Roman"/>
                <w:color w:val="auto"/>
                <w:sz w:val="15"/>
                <w:szCs w:val="15"/>
              </w:rPr>
            </w:pPr>
          </w:p>
        </w:tc>
        <w:tc>
          <w:tcPr>
            <w:tcW w:w="1333" w:type="dxa"/>
            <w:noWrap w:val="0"/>
            <w:vAlign w:val="center"/>
          </w:tcPr>
          <w:p>
            <w:pPr>
              <w:spacing w:line="240" w:lineRule="exact"/>
              <w:jc w:val="center"/>
              <w:rPr>
                <w:rFonts w:hint="default" w:ascii="Times New Roman" w:hAnsi="Times New Roman" w:cs="Times New Roman"/>
                <w:color w:val="FF0000"/>
                <w:sz w:val="15"/>
                <w:szCs w:val="15"/>
              </w:rPr>
            </w:pPr>
          </w:p>
        </w:tc>
        <w:tc>
          <w:tcPr>
            <w:tcW w:w="1102" w:type="dxa"/>
            <w:noWrap w:val="0"/>
            <w:vAlign w:val="center"/>
          </w:tcPr>
          <w:p>
            <w:pPr>
              <w:spacing w:line="240" w:lineRule="exact"/>
              <w:jc w:val="center"/>
              <w:rPr>
                <w:rFonts w:hint="default" w:ascii="Times New Roman" w:hAnsi="Times New Roman" w:cs="Times New Roman"/>
                <w:color w:val="FF0000"/>
                <w:sz w:val="15"/>
                <w:szCs w:val="15"/>
              </w:rPr>
            </w:pPr>
          </w:p>
        </w:tc>
        <w:tc>
          <w:tcPr>
            <w:tcW w:w="826" w:type="dxa"/>
            <w:noWrap w:val="0"/>
            <w:vAlign w:val="center"/>
          </w:tcPr>
          <w:p>
            <w:pPr>
              <w:spacing w:line="240" w:lineRule="exact"/>
              <w:jc w:val="center"/>
              <w:rPr>
                <w:rFonts w:hint="default" w:ascii="Times New Roman" w:hAnsi="Times New Roman" w:cs="Times New Roman"/>
                <w:color w:val="FF0000"/>
                <w:sz w:val="15"/>
                <w:szCs w:val="15"/>
              </w:rPr>
            </w:pPr>
          </w:p>
        </w:tc>
        <w:tc>
          <w:tcPr>
            <w:tcW w:w="1379"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241" w:type="dxa"/>
            <w:noWrap w:val="0"/>
            <w:vAlign w:val="center"/>
          </w:tcPr>
          <w:p>
            <w:pPr>
              <w:spacing w:line="240" w:lineRule="exact"/>
              <w:jc w:val="center"/>
              <w:rPr>
                <w:rFonts w:hint="default" w:ascii="Times New Roman" w:hAnsi="Times New Roman" w:cs="Times New Roman"/>
                <w:color w:val="FF0000"/>
                <w:sz w:val="15"/>
                <w:szCs w:val="15"/>
              </w:rPr>
            </w:pPr>
          </w:p>
        </w:tc>
        <w:tc>
          <w:tcPr>
            <w:tcW w:w="1202"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706" w:type="dxa"/>
            <w:noWrap w:val="0"/>
            <w:vAlign w:val="center"/>
          </w:tcPr>
          <w:p>
            <w:pPr>
              <w:spacing w:line="240" w:lineRule="exact"/>
              <w:jc w:val="center"/>
              <w:rPr>
                <w:rFonts w:hint="default" w:ascii="Times New Roman" w:hAnsi="Times New Roman" w:cs="Times New Roman"/>
                <w:color w:val="FF0000"/>
                <w:sz w:val="15"/>
                <w:szCs w:val="15"/>
              </w:rPr>
            </w:pPr>
          </w:p>
        </w:tc>
        <w:tc>
          <w:tcPr>
            <w:tcW w:w="99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color w:val="auto"/>
                <w:sz w:val="15"/>
                <w:szCs w:val="15"/>
                <w:lang w:val="en-US" w:eastAsia="zh-CN"/>
              </w:rPr>
              <w:t>0.0</w:t>
            </w:r>
            <w:r>
              <w:rPr>
                <w:rFonts w:hint="eastAsia" w:cs="Times New Roman"/>
                <w:color w:val="auto"/>
                <w:sz w:val="15"/>
                <w:szCs w:val="15"/>
                <w:lang w:val="en-US" w:eastAsia="zh-CN"/>
              </w:rPr>
              <w:t>11</w:t>
            </w: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5"/>
                <w:szCs w:val="15"/>
                <w:lang w:val="en-US" w:eastAsia="zh-CN"/>
              </w:rPr>
            </w:pPr>
            <w:r>
              <w:rPr>
                <w:rFonts w:hint="default" w:ascii="Times New Roman" w:hAnsi="Times New Roman" w:eastAsia="宋体" w:cs="Times New Roman"/>
                <w:color w:val="auto"/>
                <w:sz w:val="15"/>
                <w:szCs w:val="15"/>
                <w:lang w:val="en-US" w:eastAsia="zh-CN"/>
              </w:rPr>
              <w:t>0.011</w:t>
            </w:r>
          </w:p>
        </w:tc>
        <w:tc>
          <w:tcPr>
            <w:tcW w:w="1176" w:type="dxa"/>
            <w:noWrap w:val="0"/>
            <w:vAlign w:val="center"/>
          </w:tcPr>
          <w:p>
            <w:pPr>
              <w:spacing w:line="240" w:lineRule="exact"/>
              <w:jc w:val="center"/>
              <w:rPr>
                <w:rFonts w:hint="default" w:ascii="Times New Roman" w:hAnsi="Times New Roman" w:cs="Times New Roman"/>
                <w:color w:val="FF0000"/>
                <w:sz w:val="15"/>
                <w:szCs w:val="15"/>
              </w:rPr>
            </w:pPr>
          </w:p>
        </w:tc>
        <w:tc>
          <w:tcPr>
            <w:tcW w:w="910" w:type="dxa"/>
            <w:noWrap w:val="0"/>
            <w:vAlign w:val="center"/>
          </w:tcPr>
          <w:p>
            <w:pPr>
              <w:spacing w:line="240" w:lineRule="exact"/>
              <w:jc w:val="center"/>
              <w:rPr>
                <w:rFonts w:hint="default" w:ascii="Times New Roman" w:hAnsi="Times New Roman" w:cs="Times New Roman"/>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035" w:type="dxa"/>
            <w:vMerge w:val="restart"/>
            <w:noWrap w:val="0"/>
            <w:vAlign w:val="center"/>
          </w:tcPr>
          <w:p>
            <w:pPr>
              <w:spacing w:line="240" w:lineRule="exact"/>
              <w:rPr>
                <w:rFonts w:hint="default" w:ascii="Times New Roman" w:hAnsi="Times New Roman" w:eastAsia="黑体" w:cs="Times New Roman"/>
                <w:b/>
                <w:color w:val="auto"/>
                <w:sz w:val="15"/>
                <w:szCs w:val="15"/>
              </w:rPr>
            </w:pPr>
            <w:r>
              <w:rPr>
                <w:rFonts w:hint="eastAsia" w:eastAsia="黑体" w:cs="Times New Roman"/>
                <w:b/>
                <w:color w:val="auto"/>
                <w:sz w:val="15"/>
                <w:szCs w:val="15"/>
                <w:lang w:val="en-US" w:eastAsia="zh-CN"/>
              </w:rPr>
              <w:t>工业烟</w:t>
            </w:r>
            <w:r>
              <w:rPr>
                <w:rFonts w:hint="default" w:ascii="Times New Roman" w:hAnsi="Times New Roman" w:eastAsia="黑体" w:cs="Times New Roman"/>
                <w:b/>
                <w:color w:val="auto"/>
                <w:sz w:val="15"/>
                <w:szCs w:val="15"/>
              </w:rPr>
              <w:t>粉尘</w:t>
            </w:r>
          </w:p>
        </w:tc>
        <w:tc>
          <w:tcPr>
            <w:tcW w:w="576" w:type="dxa"/>
            <w:noWrap w:val="0"/>
            <w:vAlign w:val="center"/>
          </w:tcPr>
          <w:p>
            <w:pPr>
              <w:spacing w:line="240" w:lineRule="exact"/>
              <w:jc w:val="center"/>
              <w:rPr>
                <w:rFonts w:hint="default" w:ascii="Times New Roman" w:hAnsi="Times New Roman" w:cs="Times New Roman"/>
                <w:color w:val="auto"/>
                <w:sz w:val="15"/>
                <w:szCs w:val="15"/>
              </w:rPr>
            </w:pPr>
          </w:p>
        </w:tc>
        <w:tc>
          <w:tcPr>
            <w:tcW w:w="771" w:type="dxa"/>
            <w:noWrap w:val="0"/>
            <w:vAlign w:val="center"/>
          </w:tcPr>
          <w:p>
            <w:pPr>
              <w:spacing w:line="240" w:lineRule="exact"/>
              <w:jc w:val="center"/>
              <w:rPr>
                <w:rFonts w:hint="default" w:ascii="Times New Roman" w:hAnsi="Times New Roman" w:cs="Times New Roman"/>
                <w:color w:val="auto"/>
                <w:sz w:val="15"/>
                <w:szCs w:val="15"/>
              </w:rPr>
            </w:pPr>
          </w:p>
        </w:tc>
        <w:tc>
          <w:tcPr>
            <w:tcW w:w="1333" w:type="dxa"/>
            <w:noWrap w:val="0"/>
            <w:vAlign w:val="center"/>
          </w:tcPr>
          <w:p>
            <w:pPr>
              <w:spacing w:line="240" w:lineRule="exact"/>
              <w:jc w:val="center"/>
              <w:rPr>
                <w:rFonts w:hint="default" w:ascii="Times New Roman" w:hAnsi="Times New Roman" w:cs="Times New Roman"/>
                <w:color w:val="FF0000"/>
                <w:sz w:val="15"/>
                <w:szCs w:val="15"/>
              </w:rPr>
            </w:pPr>
          </w:p>
        </w:tc>
        <w:tc>
          <w:tcPr>
            <w:tcW w:w="1102" w:type="dxa"/>
            <w:noWrap w:val="0"/>
            <w:vAlign w:val="center"/>
          </w:tcPr>
          <w:p>
            <w:pPr>
              <w:spacing w:line="240" w:lineRule="exact"/>
              <w:jc w:val="center"/>
              <w:rPr>
                <w:rFonts w:hint="default" w:ascii="Times New Roman" w:hAnsi="Times New Roman" w:cs="Times New Roman"/>
                <w:color w:val="FF0000"/>
                <w:sz w:val="15"/>
                <w:szCs w:val="15"/>
              </w:rPr>
            </w:pPr>
          </w:p>
        </w:tc>
        <w:tc>
          <w:tcPr>
            <w:tcW w:w="826" w:type="dxa"/>
            <w:noWrap w:val="0"/>
            <w:vAlign w:val="center"/>
          </w:tcPr>
          <w:p>
            <w:pPr>
              <w:spacing w:line="240" w:lineRule="exact"/>
              <w:jc w:val="center"/>
              <w:rPr>
                <w:rFonts w:hint="default" w:ascii="Times New Roman" w:hAnsi="Times New Roman" w:cs="Times New Roman"/>
                <w:color w:val="FF0000"/>
                <w:sz w:val="15"/>
                <w:szCs w:val="15"/>
              </w:rPr>
            </w:pPr>
          </w:p>
        </w:tc>
        <w:tc>
          <w:tcPr>
            <w:tcW w:w="1379"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241" w:type="dxa"/>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202" w:type="dxa"/>
            <w:gridSpan w:val="2"/>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1706" w:type="dxa"/>
            <w:noWrap w:val="0"/>
            <w:vAlign w:val="center"/>
          </w:tcPr>
          <w:p>
            <w:pPr>
              <w:spacing w:line="240" w:lineRule="exact"/>
              <w:jc w:val="center"/>
              <w:rPr>
                <w:rFonts w:hint="default" w:ascii="Times New Roman" w:hAnsi="Times New Roman" w:cs="Times New Roman"/>
                <w:color w:val="FF0000"/>
                <w:sz w:val="15"/>
                <w:szCs w:val="15"/>
              </w:rPr>
            </w:pPr>
          </w:p>
        </w:tc>
        <w:tc>
          <w:tcPr>
            <w:tcW w:w="992"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p>
        </w:tc>
        <w:tc>
          <w:tcPr>
            <w:tcW w:w="1178" w:type="dxa"/>
            <w:gridSpan w:val="2"/>
            <w:noWrap w:val="0"/>
            <w:vAlign w:val="center"/>
          </w:tcPr>
          <w:p>
            <w:pPr>
              <w:spacing w:line="240" w:lineRule="exact"/>
              <w:jc w:val="center"/>
              <w:rPr>
                <w:rFonts w:hint="default" w:ascii="Times New Roman" w:hAnsi="Times New Roman" w:eastAsia="宋体" w:cs="Times New Roman"/>
                <w:color w:val="auto"/>
                <w:sz w:val="15"/>
                <w:szCs w:val="15"/>
                <w:lang w:val="en-US" w:eastAsia="zh-CN"/>
              </w:rPr>
            </w:pPr>
          </w:p>
        </w:tc>
        <w:tc>
          <w:tcPr>
            <w:tcW w:w="1176" w:type="dxa"/>
            <w:noWrap w:val="0"/>
            <w:vAlign w:val="center"/>
          </w:tcPr>
          <w:p>
            <w:pPr>
              <w:spacing w:line="240" w:lineRule="exact"/>
              <w:jc w:val="center"/>
              <w:rPr>
                <w:rFonts w:hint="default" w:ascii="Times New Roman" w:hAnsi="Times New Roman" w:eastAsia="宋体" w:cs="Times New Roman"/>
                <w:color w:val="FF0000"/>
                <w:sz w:val="15"/>
                <w:szCs w:val="15"/>
                <w:lang w:val="en-US" w:eastAsia="zh-CN"/>
              </w:rPr>
            </w:pPr>
          </w:p>
        </w:tc>
        <w:tc>
          <w:tcPr>
            <w:tcW w:w="910" w:type="dxa"/>
            <w:noWrap w:val="0"/>
            <w:vAlign w:val="center"/>
          </w:tcPr>
          <w:p>
            <w:pPr>
              <w:spacing w:line="240" w:lineRule="exact"/>
              <w:jc w:val="center"/>
              <w:rPr>
                <w:rFonts w:hint="default" w:ascii="Times New Roman" w:hAnsi="Times New Roman" w:cs="Times New Roman"/>
                <w:color w:val="auto"/>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48" w:type="dxa"/>
            <w:gridSpan w:val="2"/>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1035" w:type="dxa"/>
            <w:vMerge w:val="continue"/>
            <w:noWrap w:val="0"/>
            <w:vAlign w:val="center"/>
          </w:tcPr>
          <w:p>
            <w:pPr>
              <w:spacing w:line="240" w:lineRule="exact"/>
              <w:jc w:val="center"/>
              <w:rPr>
                <w:rFonts w:hint="default" w:ascii="Times New Roman" w:hAnsi="Times New Roman" w:cs="Times New Roman"/>
                <w:color w:val="auto"/>
                <w:sz w:val="15"/>
                <w:szCs w:val="15"/>
              </w:rPr>
            </w:pPr>
          </w:p>
        </w:tc>
        <w:tc>
          <w:tcPr>
            <w:tcW w:w="576" w:type="dxa"/>
            <w:noWrap w:val="0"/>
            <w:vAlign w:val="center"/>
          </w:tcPr>
          <w:p>
            <w:pPr>
              <w:spacing w:line="240" w:lineRule="exact"/>
              <w:jc w:val="center"/>
              <w:rPr>
                <w:rFonts w:hint="default" w:ascii="Times New Roman" w:hAnsi="Times New Roman" w:cs="Times New Roman"/>
                <w:color w:val="auto"/>
                <w:sz w:val="15"/>
                <w:szCs w:val="15"/>
              </w:rPr>
            </w:pPr>
          </w:p>
        </w:tc>
        <w:tc>
          <w:tcPr>
            <w:tcW w:w="771" w:type="dxa"/>
            <w:noWrap w:val="0"/>
            <w:vAlign w:val="center"/>
          </w:tcPr>
          <w:p>
            <w:pPr>
              <w:spacing w:line="240" w:lineRule="exact"/>
              <w:jc w:val="center"/>
              <w:rPr>
                <w:rFonts w:hint="default" w:ascii="Times New Roman" w:hAnsi="Times New Roman" w:cs="Times New Roman"/>
                <w:color w:val="auto"/>
                <w:sz w:val="15"/>
                <w:szCs w:val="15"/>
              </w:rPr>
            </w:pPr>
          </w:p>
        </w:tc>
        <w:tc>
          <w:tcPr>
            <w:tcW w:w="1333" w:type="dxa"/>
            <w:noWrap w:val="0"/>
            <w:vAlign w:val="center"/>
          </w:tcPr>
          <w:p>
            <w:pPr>
              <w:spacing w:line="240" w:lineRule="exact"/>
              <w:jc w:val="center"/>
              <w:rPr>
                <w:rFonts w:hint="default" w:ascii="Times New Roman" w:hAnsi="Times New Roman" w:cs="Times New Roman"/>
                <w:color w:val="FF0000"/>
                <w:sz w:val="15"/>
                <w:szCs w:val="15"/>
              </w:rPr>
            </w:pPr>
          </w:p>
        </w:tc>
        <w:tc>
          <w:tcPr>
            <w:tcW w:w="1102" w:type="dxa"/>
            <w:noWrap w:val="0"/>
            <w:vAlign w:val="center"/>
          </w:tcPr>
          <w:p>
            <w:pPr>
              <w:spacing w:line="240" w:lineRule="exact"/>
              <w:jc w:val="center"/>
              <w:rPr>
                <w:rFonts w:hint="default" w:ascii="Times New Roman" w:hAnsi="Times New Roman" w:cs="Times New Roman"/>
                <w:color w:val="FF0000"/>
                <w:sz w:val="15"/>
                <w:szCs w:val="15"/>
              </w:rPr>
            </w:pPr>
          </w:p>
        </w:tc>
        <w:tc>
          <w:tcPr>
            <w:tcW w:w="826" w:type="dxa"/>
            <w:noWrap w:val="0"/>
            <w:vAlign w:val="center"/>
          </w:tcPr>
          <w:p>
            <w:pPr>
              <w:spacing w:line="240" w:lineRule="exact"/>
              <w:jc w:val="center"/>
              <w:rPr>
                <w:rFonts w:hint="default" w:ascii="Times New Roman" w:hAnsi="Times New Roman" w:cs="Times New Roman"/>
                <w:color w:val="FF0000"/>
                <w:sz w:val="15"/>
                <w:szCs w:val="15"/>
              </w:rPr>
            </w:pPr>
          </w:p>
        </w:tc>
        <w:tc>
          <w:tcPr>
            <w:tcW w:w="1379"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241" w:type="dxa"/>
            <w:noWrap w:val="0"/>
            <w:vAlign w:val="center"/>
          </w:tcPr>
          <w:p>
            <w:pPr>
              <w:spacing w:line="240" w:lineRule="exact"/>
              <w:jc w:val="center"/>
              <w:rPr>
                <w:rFonts w:hint="default" w:ascii="Times New Roman" w:hAnsi="Times New Roman" w:cs="Times New Roman"/>
                <w:color w:val="FF0000"/>
                <w:sz w:val="15"/>
                <w:szCs w:val="15"/>
              </w:rPr>
            </w:pPr>
          </w:p>
        </w:tc>
        <w:tc>
          <w:tcPr>
            <w:tcW w:w="1202" w:type="dxa"/>
            <w:gridSpan w:val="2"/>
            <w:noWrap w:val="0"/>
            <w:vAlign w:val="center"/>
          </w:tcPr>
          <w:p>
            <w:pPr>
              <w:spacing w:line="240" w:lineRule="exact"/>
              <w:jc w:val="center"/>
              <w:rPr>
                <w:rFonts w:hint="default" w:ascii="Times New Roman" w:hAnsi="Times New Roman" w:cs="Times New Roman"/>
                <w:color w:val="FF0000"/>
                <w:sz w:val="15"/>
                <w:szCs w:val="15"/>
              </w:rPr>
            </w:pPr>
          </w:p>
        </w:tc>
        <w:tc>
          <w:tcPr>
            <w:tcW w:w="1706" w:type="dxa"/>
            <w:noWrap w:val="0"/>
            <w:vAlign w:val="center"/>
          </w:tcPr>
          <w:p>
            <w:pPr>
              <w:spacing w:line="240" w:lineRule="exact"/>
              <w:jc w:val="center"/>
              <w:rPr>
                <w:rFonts w:hint="default" w:ascii="Times New Roman" w:hAnsi="Times New Roman" w:cs="Times New Roman"/>
                <w:color w:val="FF0000"/>
                <w:sz w:val="15"/>
                <w:szCs w:val="15"/>
              </w:rPr>
            </w:pPr>
          </w:p>
        </w:tc>
        <w:tc>
          <w:tcPr>
            <w:tcW w:w="992" w:type="dxa"/>
            <w:gridSpan w:val="2"/>
            <w:noWrap w:val="0"/>
            <w:vAlign w:val="center"/>
          </w:tcPr>
          <w:p>
            <w:pPr>
              <w:spacing w:line="240" w:lineRule="exact"/>
              <w:jc w:val="center"/>
              <w:rPr>
                <w:rFonts w:hint="default" w:ascii="Times New Roman" w:hAnsi="Times New Roman" w:cs="Times New Roman"/>
                <w:color w:val="auto"/>
                <w:sz w:val="15"/>
                <w:szCs w:val="15"/>
              </w:rPr>
            </w:pPr>
          </w:p>
        </w:tc>
        <w:tc>
          <w:tcPr>
            <w:tcW w:w="1178" w:type="dxa"/>
            <w:gridSpan w:val="2"/>
            <w:noWrap w:val="0"/>
            <w:vAlign w:val="center"/>
          </w:tcPr>
          <w:p>
            <w:pPr>
              <w:spacing w:line="240" w:lineRule="exact"/>
              <w:jc w:val="center"/>
              <w:rPr>
                <w:rFonts w:hint="default" w:ascii="Times New Roman" w:hAnsi="Times New Roman" w:cs="Times New Roman"/>
                <w:color w:val="auto"/>
                <w:sz w:val="15"/>
                <w:szCs w:val="15"/>
              </w:rPr>
            </w:pPr>
          </w:p>
        </w:tc>
        <w:tc>
          <w:tcPr>
            <w:tcW w:w="1176" w:type="dxa"/>
            <w:noWrap w:val="0"/>
            <w:vAlign w:val="center"/>
          </w:tcPr>
          <w:p>
            <w:pPr>
              <w:spacing w:line="240" w:lineRule="exact"/>
              <w:jc w:val="center"/>
              <w:rPr>
                <w:rFonts w:hint="default" w:ascii="Times New Roman" w:hAnsi="Times New Roman" w:cs="Times New Roman"/>
                <w:color w:val="FF0000"/>
                <w:sz w:val="15"/>
                <w:szCs w:val="15"/>
              </w:rPr>
            </w:pPr>
          </w:p>
        </w:tc>
        <w:tc>
          <w:tcPr>
            <w:tcW w:w="910" w:type="dxa"/>
            <w:noWrap w:val="0"/>
            <w:vAlign w:val="center"/>
          </w:tcPr>
          <w:p>
            <w:pPr>
              <w:spacing w:line="240" w:lineRule="exact"/>
              <w:jc w:val="center"/>
              <w:rPr>
                <w:rFonts w:hint="default" w:ascii="Times New Roman" w:hAnsi="Times New Roman" w:cs="Times New Roman"/>
                <w:color w:val="auto"/>
                <w:sz w:val="15"/>
                <w:szCs w:val="15"/>
              </w:rPr>
            </w:pPr>
          </w:p>
        </w:tc>
      </w:tr>
    </w:tbl>
    <w:p>
      <w:pPr>
        <w:rPr>
          <w:rFonts w:hint="eastAsia"/>
          <w:color w:val="auto"/>
          <w:sz w:val="18"/>
          <w:szCs w:val="18"/>
          <w:lang w:val="en-US" w:eastAsia="zh-CN"/>
        </w:rPr>
      </w:pPr>
      <w:r>
        <w:rPr>
          <w:b/>
          <w:color w:val="auto"/>
          <w:sz w:val="18"/>
          <w:szCs w:val="18"/>
        </w:rPr>
        <w:t>注</w:t>
      </w:r>
      <w:r>
        <w:rPr>
          <w:color w:val="auto"/>
          <w:sz w:val="18"/>
          <w:szCs w:val="18"/>
        </w:rPr>
        <w:t>：1、排放增减量：（+）表示增加，（-）表示减少。2、(12)=(6)-(8)-(11)，（9）= (4)-(5)-(8)- (11) +（1）。3、计量单位：废水排放量——吨/年；废气排放量——万标立方米/年；工业固体废物排放量——万吨/年；水污染物排放浓度——毫克/升</w:t>
      </w:r>
      <w:r>
        <w:rPr>
          <w:rFonts w:hint="eastAsia"/>
          <w:color w:val="auto"/>
          <w:sz w:val="18"/>
          <w:szCs w:val="18"/>
        </w:rPr>
        <w:t>；水污染物排放量</w:t>
      </w:r>
      <w:r>
        <w:rPr>
          <w:color w:val="auto"/>
          <w:sz w:val="18"/>
          <w:szCs w:val="18"/>
        </w:rPr>
        <w:t>——吨/年；</w:t>
      </w:r>
      <w:r>
        <w:rPr>
          <w:rFonts w:hint="eastAsia"/>
          <w:color w:val="auto"/>
          <w:sz w:val="18"/>
          <w:szCs w:val="18"/>
        </w:rPr>
        <w:t>废气污染物排放量</w:t>
      </w:r>
      <w:r>
        <w:rPr>
          <w:color w:val="auto"/>
          <w:sz w:val="18"/>
          <w:szCs w:val="18"/>
        </w:rPr>
        <w:t>——吨/</w:t>
      </w:r>
      <w:r>
        <w:rPr>
          <w:rFonts w:hint="eastAsia"/>
          <w:color w:val="auto"/>
          <w:sz w:val="18"/>
          <w:szCs w:val="18"/>
          <w:lang w:val="en-US" w:eastAsia="zh-CN"/>
        </w:rPr>
        <w:t>年。</w:t>
      </w:r>
    </w:p>
    <w:p>
      <w:pPr>
        <w:rPr>
          <w:rFonts w:hint="eastAsia"/>
          <w:color w:val="auto"/>
          <w:sz w:val="18"/>
          <w:szCs w:val="18"/>
          <w:lang w:val="en-US" w:eastAsia="zh-CN"/>
        </w:rPr>
      </w:pPr>
      <w:r>
        <w:rPr>
          <w:rFonts w:hint="eastAsia"/>
          <w:color w:val="auto"/>
          <w:sz w:val="18"/>
          <w:szCs w:val="18"/>
          <w:lang w:val="en-US" w:eastAsia="zh-CN"/>
        </w:rPr>
        <w:br w:type="page"/>
      </w:r>
    </w:p>
    <w:p>
      <w:pPr>
        <w:pStyle w:val="2"/>
        <w:sectPr>
          <w:headerReference r:id="rId9" w:type="default"/>
          <w:footerReference r:id="rId10" w:type="default"/>
          <w:pgSz w:w="16838" w:h="11906" w:orient="landscape"/>
          <w:pgMar w:top="1457" w:right="1440" w:bottom="1287" w:left="1417" w:header="851" w:footer="992" w:gutter="0"/>
          <w:pgNumType w:fmt="decimal"/>
          <w:cols w:space="720" w:num="1"/>
        </w:sectPr>
      </w:pPr>
    </w:p>
    <w:bookmarkEnd w:id="40"/>
    <w:p>
      <w:pPr>
        <w:pStyle w:val="31"/>
        <w:bidi w:val="0"/>
        <w:ind w:left="0" w:leftChars="0" w:firstLine="0" w:firstLineChars="0"/>
        <w:rPr>
          <w:rFonts w:hint="eastAsia"/>
          <w:lang w:val="en-US" w:eastAsia="zh-CN"/>
        </w:rPr>
      </w:pPr>
      <w:bookmarkStart w:id="41" w:name="_Toc30158"/>
      <w:bookmarkStart w:id="42" w:name="_Toc103603951"/>
      <w:bookmarkStart w:id="43" w:name="_Toc4732"/>
      <w:r>
        <w:rPr>
          <w:rFonts w:hint="default" w:ascii="Times New Roman" w:hAnsi="Times New Roman" w:eastAsia="宋体" w:cs="Times New Roman"/>
          <w:b/>
          <w:bCs/>
          <w:sz w:val="24"/>
          <w:szCs w:val="24"/>
        </w:rPr>
        <w:t>附</w:t>
      </w:r>
      <w:r>
        <w:rPr>
          <w:rFonts w:hint="default" w:ascii="Times New Roman" w:hAnsi="Times New Roman" w:eastAsia="宋体" w:cs="Times New Roman"/>
          <w:b/>
          <w:bCs/>
          <w:sz w:val="24"/>
          <w:szCs w:val="24"/>
          <w:lang w:eastAsia="zh-CN"/>
        </w:rPr>
        <w:t>图</w:t>
      </w:r>
      <w:r>
        <w:rPr>
          <w:rFonts w:hint="default" w:ascii="Times New Roman" w:hAnsi="Times New Roman" w:eastAsia="宋体" w:cs="Times New Roman"/>
          <w:b/>
          <w:bCs/>
          <w:sz w:val="24"/>
          <w:szCs w:val="24"/>
          <w:lang w:val="en-US" w:eastAsia="zh-CN"/>
        </w:rPr>
        <w:t>1</w:t>
      </w:r>
      <w:r>
        <w:rPr>
          <w:rFonts w:hint="default" w:ascii="Times New Roman" w:hAnsi="Times New Roman" w:eastAsia="宋体" w:cs="Times New Roman"/>
          <w:b/>
          <w:bCs/>
          <w:sz w:val="24"/>
          <w:szCs w:val="24"/>
        </w:rPr>
        <w:t>：项目地理位置及周边环境</w:t>
      </w:r>
      <w:bookmarkEnd w:id="41"/>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438900" cy="4611370"/>
            <wp:effectExtent l="0" t="0" r="0" b="17780"/>
            <wp:docPr id="1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IMG_256"/>
                    <pic:cNvPicPr>
                      <a:picLocks noChangeAspect="1"/>
                    </pic:cNvPicPr>
                  </pic:nvPicPr>
                  <pic:blipFill>
                    <a:blip r:embed="rId16"/>
                    <a:stretch>
                      <a:fillRect/>
                    </a:stretch>
                  </pic:blipFill>
                  <pic:spPr>
                    <a:xfrm>
                      <a:off x="0" y="0"/>
                      <a:ext cx="6438900" cy="4611370"/>
                    </a:xfrm>
                    <a:prstGeom prst="rect">
                      <a:avLst/>
                    </a:prstGeom>
                    <a:noFill/>
                    <a:ln w="9525">
                      <a:noFill/>
                    </a:ln>
                  </pic:spPr>
                </pic:pic>
              </a:graphicData>
            </a:graphic>
          </wp:inline>
        </w:drawing>
      </w:r>
    </w:p>
    <w:p>
      <w:pPr>
        <w:pStyle w:val="21"/>
        <w:bidi w:val="0"/>
        <w:rPr>
          <w:rFonts w:hint="eastAsia"/>
          <w:lang w:val="en-US" w:eastAsia="zh-CN"/>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eastAsia="宋体"/>
          <w:b/>
          <w:bCs/>
        </w:rPr>
      </w:pPr>
    </w:p>
    <w:p>
      <w:pPr>
        <w:pStyle w:val="39"/>
        <w:bidi w:val="0"/>
        <w:ind w:left="0" w:leftChars="0" w:firstLine="0" w:firstLineChars="0"/>
        <w:jc w:val="left"/>
        <w:rPr>
          <w:rFonts w:hint="eastAsia" w:ascii="Times New Roman" w:hAnsi="Times New Roman" w:eastAsia="宋体" w:cs="Times New Roman"/>
          <w:b/>
          <w:bCs/>
          <w:lang w:eastAsia="zh-CN"/>
        </w:rPr>
      </w:pPr>
      <w:r>
        <w:rPr>
          <w:rFonts w:hint="eastAsia" w:eastAsia="宋体"/>
          <w:b/>
          <w:bCs/>
        </w:rPr>
        <w:t>附</w:t>
      </w:r>
      <w:r>
        <w:rPr>
          <w:rFonts w:hint="eastAsia" w:eastAsia="宋体"/>
          <w:b/>
          <w:bCs/>
          <w:lang w:eastAsia="zh-CN"/>
        </w:rPr>
        <w:t>图</w:t>
      </w:r>
      <w:r>
        <w:rPr>
          <w:rFonts w:hint="eastAsia" w:eastAsia="宋体"/>
          <w:b/>
          <w:bCs/>
          <w:lang w:val="en-US" w:eastAsia="zh-CN"/>
        </w:rPr>
        <w:t>2</w:t>
      </w:r>
      <w:r>
        <w:rPr>
          <w:rFonts w:hint="eastAsia" w:eastAsia="宋体"/>
          <w:b/>
          <w:bCs/>
        </w:rPr>
        <w:t>：</w:t>
      </w:r>
      <w:r>
        <w:rPr>
          <w:rFonts w:hint="eastAsia" w:eastAsia="宋体"/>
          <w:b/>
          <w:bCs/>
          <w:lang w:eastAsia="zh-CN"/>
        </w:rPr>
        <w:t>项目厂区平面布置图</w:t>
      </w:r>
    </w:p>
    <w:p>
      <w:pPr>
        <w:keepNext w:val="0"/>
        <w:keepLines w:val="0"/>
        <w:widowControl/>
        <w:suppressLineNumbers w:val="0"/>
        <w:jc w:val="left"/>
        <w:rPr>
          <w:rFonts w:hint="eastAsia" w:ascii="Arial" w:hAnsi="Arial" w:eastAsia="宋体" w:cs="Arial"/>
          <w:b/>
          <w:bCs/>
          <w:sz w:val="24"/>
          <w:lang w:val="en-US" w:eastAsia="zh-CN"/>
        </w:rPr>
      </w:pPr>
      <w:r>
        <w:rPr>
          <w:rFonts w:hint="eastAsia" w:ascii="Arial" w:hAnsi="Arial" w:eastAsia="宋体" w:cs="Arial"/>
          <w:b/>
          <w:bCs/>
          <w:sz w:val="24"/>
          <w:lang w:val="en-US" w:eastAsia="zh-CN"/>
        </w:rPr>
        <w:drawing>
          <wp:inline distT="0" distB="0" distL="114300" distR="114300">
            <wp:extent cx="6327140" cy="3794125"/>
            <wp:effectExtent l="0" t="0" r="16510" b="15875"/>
            <wp:docPr id="23" name="图片 23" descr="1648635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648635823(1)"/>
                    <pic:cNvPicPr>
                      <a:picLocks noChangeAspect="1"/>
                    </pic:cNvPicPr>
                  </pic:nvPicPr>
                  <pic:blipFill>
                    <a:blip r:embed="rId17"/>
                    <a:stretch>
                      <a:fillRect/>
                    </a:stretch>
                  </pic:blipFill>
                  <pic:spPr>
                    <a:xfrm>
                      <a:off x="0" y="0"/>
                      <a:ext cx="6327140" cy="3794125"/>
                    </a:xfrm>
                    <a:prstGeom prst="rect">
                      <a:avLst/>
                    </a:prstGeom>
                  </pic:spPr>
                </pic:pic>
              </a:graphicData>
            </a:graphic>
          </wp:inline>
        </w:drawing>
      </w:r>
    </w:p>
    <w:p>
      <w:pPr>
        <w:pStyle w:val="2"/>
        <w:rPr>
          <w:rFonts w:hint="eastAsia" w:ascii="Arial" w:hAnsi="Arial" w:eastAsia="宋体" w:cs="Arial"/>
          <w:b/>
          <w:bCs/>
          <w:sz w:val="24"/>
          <w:lang w:val="en-US" w:eastAsia="zh-CN"/>
        </w:rPr>
      </w:pPr>
    </w:p>
    <w:p>
      <w:pPr>
        <w:pStyle w:val="3"/>
      </w:pPr>
      <w:r>
        <w:rPr>
          <w:rFonts w:hint="eastAsia" w:ascii="Arial" w:hAnsi="Arial" w:eastAsia="宋体" w:cs="Arial"/>
          <w:b/>
          <w:bCs/>
          <w:sz w:val="24"/>
          <w:lang w:val="en-US" w:eastAsia="zh-CN"/>
        </w:rPr>
        <w:drawing>
          <wp:inline distT="0" distB="0" distL="114300" distR="114300">
            <wp:extent cx="6339205" cy="3573145"/>
            <wp:effectExtent l="0" t="0" r="4445" b="8255"/>
            <wp:docPr id="24" name="图片 24" descr="1648635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648635860(1)"/>
                    <pic:cNvPicPr>
                      <a:picLocks noChangeAspect="1"/>
                    </pic:cNvPicPr>
                  </pic:nvPicPr>
                  <pic:blipFill>
                    <a:blip r:embed="rId18"/>
                    <a:stretch>
                      <a:fillRect/>
                    </a:stretch>
                  </pic:blipFill>
                  <pic:spPr>
                    <a:xfrm>
                      <a:off x="0" y="0"/>
                      <a:ext cx="6339205" cy="3573145"/>
                    </a:xfrm>
                    <a:prstGeom prst="rect">
                      <a:avLst/>
                    </a:prstGeom>
                  </pic:spPr>
                </pic:pic>
              </a:graphicData>
            </a:graphic>
          </wp:inline>
        </w:drawing>
      </w:r>
    </w:p>
    <w:p>
      <w:pPr>
        <w:pStyle w:val="39"/>
        <w:bidi w:val="0"/>
        <w:ind w:left="0" w:leftChars="0" w:firstLine="0" w:firstLineChars="0"/>
        <w:jc w:val="left"/>
        <w:rPr>
          <w:rFonts w:hint="eastAsia" w:ascii="Arial" w:hAnsi="Arial" w:eastAsia="宋体" w:cs="Arial"/>
          <w:b/>
          <w:bCs/>
          <w:sz w:val="24"/>
          <w:lang w:val="en-US" w:eastAsia="zh-CN"/>
        </w:rPr>
      </w:pPr>
      <w:r>
        <w:rPr>
          <w:rFonts w:hint="eastAsia" w:ascii="Arial" w:hAnsi="Arial" w:eastAsia="宋体" w:cs="Arial"/>
          <w:b/>
          <w:bCs/>
          <w:sz w:val="24"/>
          <w:lang w:val="en-US" w:eastAsia="zh-CN"/>
        </w:rPr>
        <w:drawing>
          <wp:inline distT="0" distB="0" distL="114300" distR="114300">
            <wp:extent cx="6308090" cy="3841750"/>
            <wp:effectExtent l="0" t="0" r="16510" b="6350"/>
            <wp:docPr id="25" name="图片 25" descr="1648635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48635904(1)"/>
                    <pic:cNvPicPr>
                      <a:picLocks noChangeAspect="1"/>
                    </pic:cNvPicPr>
                  </pic:nvPicPr>
                  <pic:blipFill>
                    <a:blip r:embed="rId19"/>
                    <a:stretch>
                      <a:fillRect/>
                    </a:stretch>
                  </pic:blipFill>
                  <pic:spPr>
                    <a:xfrm>
                      <a:off x="0" y="0"/>
                      <a:ext cx="6308090" cy="3841750"/>
                    </a:xfrm>
                    <a:prstGeom prst="rect">
                      <a:avLst/>
                    </a:prstGeom>
                  </pic:spPr>
                </pic:pic>
              </a:graphicData>
            </a:graphic>
          </wp:inline>
        </w:drawing>
      </w:r>
    </w:p>
    <w:p>
      <w:pPr>
        <w:pStyle w:val="39"/>
        <w:bidi w:val="0"/>
        <w:ind w:left="0" w:leftChars="0" w:firstLine="0" w:firstLineChars="0"/>
        <w:jc w:val="left"/>
        <w:rPr>
          <w:rFonts w:hint="eastAsia" w:ascii="Arial" w:hAnsi="Arial" w:eastAsia="宋体" w:cs="Arial"/>
          <w:b/>
          <w:bCs/>
          <w:sz w:val="24"/>
          <w:lang w:val="en-US" w:eastAsia="zh-CN"/>
        </w:rPr>
      </w:pPr>
    </w:p>
    <w:p>
      <w:pPr>
        <w:pStyle w:val="39"/>
        <w:bidi w:val="0"/>
        <w:ind w:left="0" w:leftChars="0" w:firstLine="0" w:firstLineChars="0"/>
        <w:jc w:val="left"/>
        <w:rPr>
          <w:rFonts w:hint="default" w:ascii="Arial" w:hAnsi="Arial" w:eastAsia="宋体" w:cs="Arial"/>
          <w:b/>
          <w:bCs/>
          <w:sz w:val="24"/>
          <w:lang w:val="en-US" w:eastAsia="zh-CN"/>
        </w:rPr>
      </w:pPr>
      <w:r>
        <w:rPr>
          <w:rFonts w:hint="eastAsia" w:ascii="Arial" w:hAnsi="Arial" w:eastAsia="宋体" w:cs="Arial"/>
          <w:b/>
          <w:bCs/>
          <w:sz w:val="24"/>
          <w:lang w:val="en-US" w:eastAsia="zh-CN"/>
        </w:rPr>
        <w:drawing>
          <wp:inline distT="0" distB="0" distL="114300" distR="114300">
            <wp:extent cx="6295390" cy="3667760"/>
            <wp:effectExtent l="0" t="0" r="10160" b="8890"/>
            <wp:docPr id="26" name="图片 26" descr="1648635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648635951(1)"/>
                    <pic:cNvPicPr>
                      <a:picLocks noChangeAspect="1"/>
                    </pic:cNvPicPr>
                  </pic:nvPicPr>
                  <pic:blipFill>
                    <a:blip r:embed="rId20"/>
                    <a:stretch>
                      <a:fillRect/>
                    </a:stretch>
                  </pic:blipFill>
                  <pic:spPr>
                    <a:xfrm>
                      <a:off x="0" y="0"/>
                      <a:ext cx="6295390" cy="3667760"/>
                    </a:xfrm>
                    <a:prstGeom prst="rect">
                      <a:avLst/>
                    </a:prstGeom>
                  </pic:spPr>
                </pic:pic>
              </a:graphicData>
            </a:graphic>
          </wp:inline>
        </w:drawing>
      </w: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eastAsia" w:ascii="Times New Roman" w:hAnsi="Times New Roman" w:eastAsia="宋体" w:cs="Times New Roman"/>
          <w:b/>
          <w:bCs/>
          <w:lang w:eastAsia="zh-CN"/>
        </w:rPr>
      </w:pPr>
      <w:r>
        <w:rPr>
          <w:rFonts w:hint="default" w:ascii="Times New Roman" w:hAnsi="Times New Roman" w:eastAsia="宋体" w:cs="Times New Roman"/>
          <w:b/>
          <w:bCs/>
        </w:rPr>
        <w:t>附件</w:t>
      </w:r>
      <w:r>
        <w:rPr>
          <w:rFonts w:hint="default" w:ascii="Times New Roman" w:hAnsi="Times New Roman" w:eastAsia="宋体" w:cs="Times New Roman"/>
          <w:b/>
          <w:bCs/>
          <w:lang w:val="en-US" w:eastAsia="zh-CN"/>
        </w:rPr>
        <w:t>1</w:t>
      </w:r>
      <w:r>
        <w:rPr>
          <w:rFonts w:hint="default" w:ascii="Times New Roman" w:hAnsi="Times New Roman" w:eastAsia="宋体" w:cs="Times New Roman"/>
          <w:b/>
          <w:bCs/>
        </w:rPr>
        <w:t>：</w:t>
      </w:r>
      <w:r>
        <w:rPr>
          <w:rFonts w:hint="default" w:ascii="Times New Roman" w:hAnsi="Times New Roman" w:eastAsia="宋体" w:cs="Times New Roman"/>
          <w:b/>
          <w:bCs/>
          <w:lang w:val="en-US" w:eastAsia="zh-CN"/>
        </w:rPr>
        <w:t>环评批复</w:t>
      </w:r>
      <w:bookmarkEnd w:id="42"/>
      <w:bookmarkEnd w:id="43"/>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869305" cy="8192135"/>
            <wp:effectExtent l="0" t="0" r="17145" b="18415"/>
            <wp:docPr id="2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IMG_256"/>
                    <pic:cNvPicPr>
                      <a:picLocks noChangeAspect="1"/>
                    </pic:cNvPicPr>
                  </pic:nvPicPr>
                  <pic:blipFill>
                    <a:blip r:embed="rId21"/>
                    <a:stretch>
                      <a:fillRect/>
                    </a:stretch>
                  </pic:blipFill>
                  <pic:spPr>
                    <a:xfrm>
                      <a:off x="0" y="0"/>
                      <a:ext cx="5869305" cy="8192135"/>
                    </a:xfrm>
                    <a:prstGeom prst="rect">
                      <a:avLst/>
                    </a:prstGeom>
                    <a:noFill/>
                    <a:ln w="9525">
                      <a:noFill/>
                    </a:ln>
                  </pic:spPr>
                </pic:pic>
              </a:graphicData>
            </a:graphic>
          </wp:inline>
        </w:drawing>
      </w:r>
    </w:p>
    <w:p>
      <w:pPr>
        <w:pStyle w:val="39"/>
        <w:bidi w:val="0"/>
        <w:ind w:left="0" w:leftChars="0" w:firstLine="0" w:firstLineChars="0"/>
        <w:rPr>
          <w:rFonts w:hint="default" w:ascii="Times New Roman" w:hAnsi="Times New Roman" w:eastAsia="宋体" w:cs="Times New Roman"/>
          <w:b/>
          <w:bCs/>
        </w:rPr>
      </w:pPr>
    </w:p>
    <w:p>
      <w:pPr>
        <w:pStyle w:val="39"/>
        <w:bidi w:val="0"/>
        <w:rPr>
          <w:rFonts w:hint="default" w:ascii="Times New Roman" w:hAnsi="Times New Roman" w:eastAsia="宋体" w:cs="Times New Roman"/>
          <w:b/>
          <w:bCs/>
        </w:rPr>
      </w:pPr>
    </w:p>
    <w:p>
      <w:pPr>
        <w:keepNext w:val="0"/>
        <w:keepLines w:val="0"/>
        <w:widowControl/>
        <w:suppressLineNumbers w:val="0"/>
        <w:jc w:val="left"/>
      </w:pPr>
      <w:bookmarkStart w:id="44" w:name="_Toc9136"/>
      <w:bookmarkStart w:id="45" w:name="_Toc103603952"/>
      <w:r>
        <w:rPr>
          <w:rFonts w:ascii="宋体" w:hAnsi="宋体" w:eastAsia="宋体" w:cs="宋体"/>
          <w:kern w:val="0"/>
          <w:sz w:val="24"/>
          <w:szCs w:val="24"/>
          <w:lang w:val="en-US" w:eastAsia="zh-CN" w:bidi="ar"/>
        </w:rPr>
        <w:drawing>
          <wp:inline distT="0" distB="0" distL="114300" distR="114300">
            <wp:extent cx="6130290" cy="8486775"/>
            <wp:effectExtent l="0" t="0" r="3810" b="9525"/>
            <wp:docPr id="2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IMG_256"/>
                    <pic:cNvPicPr>
                      <a:picLocks noChangeAspect="1"/>
                    </pic:cNvPicPr>
                  </pic:nvPicPr>
                  <pic:blipFill>
                    <a:blip r:embed="rId22"/>
                    <a:stretch>
                      <a:fillRect/>
                    </a:stretch>
                  </pic:blipFill>
                  <pic:spPr>
                    <a:xfrm>
                      <a:off x="0" y="0"/>
                      <a:ext cx="6130290" cy="8486775"/>
                    </a:xfrm>
                    <a:prstGeom prst="rect">
                      <a:avLst/>
                    </a:prstGeom>
                    <a:noFill/>
                    <a:ln w="9525">
                      <a:noFill/>
                    </a:ln>
                  </pic:spPr>
                </pic:pic>
              </a:graphicData>
            </a:graphic>
          </wp:inline>
        </w:drawing>
      </w: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eastAsia" w:ascii="Times New Roman" w:hAnsi="Times New Roman" w:eastAsia="宋体" w:cs="Times New Roman"/>
          <w:b/>
          <w:bCs/>
          <w:lang w:eastAsia="zh-CN"/>
        </w:rPr>
      </w:pPr>
      <w:r>
        <w:rPr>
          <w:rFonts w:hint="default" w:ascii="Times New Roman" w:hAnsi="Times New Roman" w:eastAsia="宋体" w:cs="Times New Roman"/>
          <w:b/>
          <w:bCs/>
        </w:rPr>
        <w:t>附件</w:t>
      </w:r>
      <w:r>
        <w:rPr>
          <w:rFonts w:hint="default" w:ascii="Times New Roman" w:hAnsi="Times New Roman" w:eastAsia="宋体" w:cs="Times New Roman"/>
          <w:b/>
          <w:bCs/>
          <w:lang w:val="en-US" w:eastAsia="zh-CN"/>
        </w:rPr>
        <w:t>2</w:t>
      </w:r>
      <w:r>
        <w:rPr>
          <w:rFonts w:hint="default" w:ascii="Times New Roman" w:hAnsi="Times New Roman" w:eastAsia="宋体" w:cs="Times New Roman"/>
          <w:b/>
          <w:bCs/>
        </w:rPr>
        <w:t>：</w:t>
      </w:r>
      <w:r>
        <w:rPr>
          <w:rFonts w:hint="default" w:ascii="Times New Roman" w:hAnsi="Times New Roman" w:eastAsia="宋体" w:cs="Times New Roman"/>
          <w:b/>
          <w:bCs/>
          <w:lang w:eastAsia="zh-CN"/>
        </w:rPr>
        <w:t>不动产及</w:t>
      </w:r>
      <w:r>
        <w:rPr>
          <w:rFonts w:hint="default" w:ascii="Times New Roman" w:hAnsi="Times New Roman" w:eastAsia="宋体" w:cs="Times New Roman"/>
          <w:b/>
          <w:bCs/>
          <w:lang w:val="en-US" w:eastAsia="zh-CN"/>
        </w:rPr>
        <w:t>租赁合同</w:t>
      </w:r>
      <w:bookmarkEnd w:id="44"/>
      <w:bookmarkEnd w:id="45"/>
      <w:bookmarkStart w:id="46" w:name="_Toc6569"/>
      <w:r>
        <w:rPr>
          <w:rFonts w:hint="eastAsia" w:ascii="宋体" w:hAnsi="宋体" w:eastAsia="宋体" w:cs="宋体"/>
          <w:b/>
          <w:bCs/>
          <w:sz w:val="24"/>
          <w:szCs w:val="32"/>
          <w:lang w:val="en-US" w:eastAsia="zh-CN"/>
        </w:rPr>
        <w:drawing>
          <wp:inline distT="0" distB="0" distL="114300" distR="114300">
            <wp:extent cx="5934710" cy="8397240"/>
            <wp:effectExtent l="0" t="0" r="8890" b="3810"/>
            <wp:docPr id="22" name="图片 5" descr="2019G-34号地块不动产权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2019G-34号地块不动产权证_00"/>
                    <pic:cNvPicPr>
                      <a:picLocks noChangeAspect="1"/>
                    </pic:cNvPicPr>
                  </pic:nvPicPr>
                  <pic:blipFill>
                    <a:blip r:embed="rId23"/>
                    <a:stretch>
                      <a:fillRect/>
                    </a:stretch>
                  </pic:blipFill>
                  <pic:spPr>
                    <a:xfrm>
                      <a:off x="0" y="0"/>
                      <a:ext cx="5934710" cy="8397240"/>
                    </a:xfrm>
                    <a:prstGeom prst="rect">
                      <a:avLst/>
                    </a:prstGeom>
                    <a:noFill/>
                    <a:ln>
                      <a:noFill/>
                    </a:ln>
                  </pic:spPr>
                </pic:pic>
              </a:graphicData>
            </a:graphic>
          </wp:inline>
        </w:drawing>
      </w:r>
      <w:r>
        <w:rPr>
          <w:rFonts w:hint="eastAsia" w:ascii="宋体" w:hAnsi="宋体" w:eastAsia="宋体" w:cs="宋体"/>
          <w:b/>
          <w:bCs/>
          <w:sz w:val="24"/>
          <w:szCs w:val="32"/>
          <w:lang w:val="en-US" w:eastAsia="zh-CN"/>
        </w:rPr>
        <w:drawing>
          <wp:inline distT="0" distB="0" distL="114300" distR="114300">
            <wp:extent cx="5972175" cy="8449945"/>
            <wp:effectExtent l="0" t="0" r="9525" b="8255"/>
            <wp:docPr id="27" name="图片 6" descr="2019G-34号地块不动产权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descr="2019G-34号地块不动产权证_01"/>
                    <pic:cNvPicPr>
                      <a:picLocks noChangeAspect="1"/>
                    </pic:cNvPicPr>
                  </pic:nvPicPr>
                  <pic:blipFill>
                    <a:blip r:embed="rId24"/>
                    <a:stretch>
                      <a:fillRect/>
                    </a:stretch>
                  </pic:blipFill>
                  <pic:spPr>
                    <a:xfrm>
                      <a:off x="0" y="0"/>
                      <a:ext cx="5972175" cy="8449945"/>
                    </a:xfrm>
                    <a:prstGeom prst="rect">
                      <a:avLst/>
                    </a:prstGeom>
                    <a:noFill/>
                    <a:ln>
                      <a:noFill/>
                    </a:ln>
                  </pic:spPr>
                </pic:pic>
              </a:graphicData>
            </a:graphic>
          </wp:inline>
        </w:drawing>
      </w:r>
    </w:p>
    <w:p>
      <w:pPr>
        <w:pStyle w:val="39"/>
        <w:bidi w:val="0"/>
        <w:ind w:left="0" w:leftChars="0" w:firstLine="0" w:firstLineChars="0"/>
        <w:jc w:val="left"/>
        <w:rPr>
          <w:rFonts w:hint="eastAsia" w:ascii="Times New Roman" w:hAnsi="Times New Roman" w:eastAsia="宋体" w:cs="Times New Roman"/>
          <w:b/>
          <w:bCs/>
          <w:lang w:eastAsia="zh-CN"/>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r>
        <w:rPr>
          <w:rFonts w:hint="eastAsia" w:ascii="宋体" w:hAnsi="宋体" w:eastAsia="宋体" w:cs="宋体"/>
          <w:b/>
          <w:bCs/>
          <w:sz w:val="22"/>
          <w:szCs w:val="28"/>
          <w:lang w:val="en-US" w:eastAsia="zh-CN"/>
        </w:rPr>
        <w:drawing>
          <wp:inline distT="0" distB="0" distL="114300" distR="114300">
            <wp:extent cx="5982335" cy="8464550"/>
            <wp:effectExtent l="0" t="0" r="18415" b="12700"/>
            <wp:docPr id="28" name="图片 7" descr="维连租赁合同及安全生产协议【扫描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维连租赁合同及安全生产协议【扫描件】_00"/>
                    <pic:cNvPicPr>
                      <a:picLocks noChangeAspect="1"/>
                    </pic:cNvPicPr>
                  </pic:nvPicPr>
                  <pic:blipFill>
                    <a:blip r:embed="rId25"/>
                    <a:stretch>
                      <a:fillRect/>
                    </a:stretch>
                  </pic:blipFill>
                  <pic:spPr>
                    <a:xfrm>
                      <a:off x="0" y="0"/>
                      <a:ext cx="5982335" cy="8464550"/>
                    </a:xfrm>
                    <a:prstGeom prst="rect">
                      <a:avLst/>
                    </a:prstGeom>
                    <a:noFill/>
                    <a:ln>
                      <a:noFill/>
                    </a:ln>
                  </pic:spPr>
                </pic:pic>
              </a:graphicData>
            </a:graphic>
          </wp:inline>
        </w:drawing>
      </w:r>
      <w:r>
        <w:rPr>
          <w:rFonts w:hint="eastAsia" w:ascii="宋体" w:hAnsi="宋体" w:eastAsia="宋体" w:cs="宋体"/>
          <w:b/>
          <w:bCs/>
          <w:sz w:val="22"/>
          <w:szCs w:val="28"/>
          <w:lang w:val="en-US" w:eastAsia="zh-CN"/>
        </w:rPr>
        <w:drawing>
          <wp:inline distT="0" distB="0" distL="114300" distR="114300">
            <wp:extent cx="6010275" cy="8503920"/>
            <wp:effectExtent l="0" t="0" r="9525" b="11430"/>
            <wp:docPr id="29" name="图片 8" descr="维连租赁合同及安全生产协议【扫描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descr="维连租赁合同及安全生产协议【扫描件】_01"/>
                    <pic:cNvPicPr>
                      <a:picLocks noChangeAspect="1"/>
                    </pic:cNvPicPr>
                  </pic:nvPicPr>
                  <pic:blipFill>
                    <a:blip r:embed="rId26"/>
                    <a:stretch>
                      <a:fillRect/>
                    </a:stretch>
                  </pic:blipFill>
                  <pic:spPr>
                    <a:xfrm>
                      <a:off x="0" y="0"/>
                      <a:ext cx="6010275" cy="8503920"/>
                    </a:xfrm>
                    <a:prstGeom prst="rect">
                      <a:avLst/>
                    </a:prstGeom>
                    <a:noFill/>
                    <a:ln>
                      <a:noFill/>
                    </a:ln>
                  </pic:spPr>
                </pic:pic>
              </a:graphicData>
            </a:graphic>
          </wp:inline>
        </w:drawing>
      </w: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lang w:val="en-US" w:eastAsia="zh-CN"/>
        </w:rPr>
      </w:pPr>
      <w:r>
        <w:rPr>
          <w:rFonts w:hint="default" w:ascii="Times New Roman" w:hAnsi="Times New Roman" w:eastAsia="宋体" w:cs="Times New Roman"/>
          <w:b/>
          <w:bCs/>
        </w:rPr>
        <w:t>附件</w:t>
      </w:r>
      <w:r>
        <w:rPr>
          <w:rFonts w:hint="default" w:ascii="Times New Roman" w:hAnsi="Times New Roman" w:eastAsia="宋体" w:cs="Times New Roman"/>
          <w:b/>
          <w:bCs/>
          <w:lang w:val="en-US" w:eastAsia="zh-CN"/>
        </w:rPr>
        <w:t>3：营业执照</w:t>
      </w:r>
      <w:bookmarkEnd w:id="46"/>
    </w:p>
    <w:p>
      <w:pPr>
        <w:pStyle w:val="39"/>
        <w:bidi w:val="0"/>
        <w:ind w:left="0" w:leftChars="0" w:firstLine="0" w:firstLineChars="0"/>
        <w:jc w:val="left"/>
        <w:rPr>
          <w:rFonts w:hint="default" w:ascii="Times New Roman" w:hAnsi="Times New Roman" w:eastAsia="宋体" w:cs="Times New Roman"/>
          <w:b/>
          <w:bCs/>
        </w:rPr>
      </w:pPr>
      <w:bookmarkStart w:id="47" w:name="_Toc29891"/>
    </w:p>
    <w:p>
      <w:pPr>
        <w:pStyle w:val="39"/>
        <w:bidi w:val="0"/>
        <w:ind w:left="0" w:leftChars="0" w:firstLine="0" w:firstLineChars="0"/>
        <w:jc w:val="left"/>
        <w:rPr>
          <w:rFonts w:hint="default" w:ascii="Times New Roman" w:hAnsi="Times New Roman" w:eastAsia="宋体" w:cs="Times New Roman"/>
          <w:b/>
          <w:bCs/>
        </w:rPr>
      </w:pPr>
      <w:r>
        <w:rPr>
          <w:rFonts w:hint="eastAsia" w:ascii="宋体" w:hAnsi="宋体" w:eastAsia="宋体" w:cs="宋体"/>
          <w:b/>
          <w:bCs/>
          <w:sz w:val="22"/>
          <w:szCs w:val="28"/>
          <w:lang w:val="en-US" w:eastAsia="zh-CN"/>
        </w:rPr>
        <w:drawing>
          <wp:anchor distT="0" distB="0" distL="114300" distR="114300" simplePos="0" relativeHeight="251662336" behindDoc="0" locked="0" layoutInCell="1" allowOverlap="1">
            <wp:simplePos x="0" y="0"/>
            <wp:positionH relativeFrom="column">
              <wp:posOffset>-1022985</wp:posOffset>
            </wp:positionH>
            <wp:positionV relativeFrom="paragraph">
              <wp:posOffset>1141095</wp:posOffset>
            </wp:positionV>
            <wp:extent cx="7975600" cy="5707380"/>
            <wp:effectExtent l="0" t="0" r="7620" b="6350"/>
            <wp:wrapSquare wrapText="bothSides"/>
            <wp:docPr id="30" name="图片 2" descr="浙江维连风然营业执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descr="浙江维连风然营业执照_00"/>
                    <pic:cNvPicPr>
                      <a:picLocks noChangeAspect="1"/>
                    </pic:cNvPicPr>
                  </pic:nvPicPr>
                  <pic:blipFill>
                    <a:blip r:embed="rId27"/>
                    <a:stretch>
                      <a:fillRect/>
                    </a:stretch>
                  </pic:blipFill>
                  <pic:spPr>
                    <a:xfrm rot="-5400000">
                      <a:off x="0" y="0"/>
                      <a:ext cx="7975600" cy="5707380"/>
                    </a:xfrm>
                    <a:prstGeom prst="rect">
                      <a:avLst/>
                    </a:prstGeom>
                    <a:noFill/>
                    <a:ln>
                      <a:noFill/>
                    </a:ln>
                  </pic:spPr>
                </pic:pic>
              </a:graphicData>
            </a:graphic>
          </wp:anchor>
        </w:drawing>
      </w: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color w:val="0000FF"/>
        </w:rPr>
      </w:pPr>
    </w:p>
    <w:p>
      <w:pPr>
        <w:pStyle w:val="39"/>
        <w:bidi w:val="0"/>
        <w:ind w:left="0" w:leftChars="0" w:firstLine="0" w:firstLineChars="0"/>
        <w:jc w:val="left"/>
        <w:rPr>
          <w:rFonts w:hint="default" w:ascii="Times New Roman" w:hAnsi="Times New Roman" w:eastAsia="宋体" w:cs="Times New Roman"/>
          <w:b/>
          <w:bCs/>
          <w:color w:val="0000FF"/>
        </w:rPr>
      </w:pPr>
    </w:p>
    <w:p>
      <w:pPr>
        <w:pStyle w:val="39"/>
        <w:bidi w:val="0"/>
        <w:ind w:left="0" w:leftChars="0" w:firstLine="0" w:firstLineChars="0"/>
        <w:jc w:val="left"/>
        <w:rPr>
          <w:rFonts w:hint="eastAsia" w:eastAsia="宋体" w:cs="Times New Roman"/>
          <w:b/>
          <w:bCs/>
          <w:lang w:eastAsia="zh-CN"/>
        </w:rPr>
      </w:pPr>
      <w:r>
        <w:rPr>
          <w:rFonts w:hint="default" w:ascii="Times New Roman" w:hAnsi="Times New Roman" w:eastAsia="宋体" w:cs="Times New Roman"/>
          <w:b/>
          <w:bCs/>
          <w:color w:val="auto"/>
        </w:rPr>
        <w:t>附件</w:t>
      </w:r>
      <w:r>
        <w:rPr>
          <w:rFonts w:hint="default" w:ascii="Times New Roman" w:hAnsi="Times New Roman" w:eastAsia="宋体" w:cs="Times New Roman"/>
          <w:b/>
          <w:bCs/>
          <w:color w:val="auto"/>
          <w:lang w:val="en-US" w:eastAsia="zh-CN"/>
        </w:rPr>
        <w:t>4：</w:t>
      </w:r>
      <w:r>
        <w:rPr>
          <w:rFonts w:hint="eastAsia" w:eastAsia="宋体" w:cs="Times New Roman"/>
          <w:b/>
          <w:bCs/>
          <w:color w:val="auto"/>
          <w:lang w:val="en-US" w:eastAsia="zh-CN"/>
        </w:rPr>
        <w:t>排污证及</w:t>
      </w:r>
      <w:bookmarkEnd w:id="47"/>
      <w:r>
        <w:rPr>
          <w:rFonts w:hint="eastAsia" w:eastAsia="宋体" w:cs="Times New Roman"/>
          <w:b/>
          <w:bCs/>
          <w:color w:val="auto"/>
          <w:lang w:eastAsia="zh-CN"/>
        </w:rPr>
        <w:t>污水接入口联系单</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6058535" cy="7867650"/>
            <wp:effectExtent l="0" t="0" r="18415" b="0"/>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28"/>
                    <a:stretch>
                      <a:fillRect/>
                    </a:stretch>
                  </pic:blipFill>
                  <pic:spPr>
                    <a:xfrm>
                      <a:off x="0" y="0"/>
                      <a:ext cx="6058535" cy="7867650"/>
                    </a:xfrm>
                    <a:prstGeom prst="rect">
                      <a:avLst/>
                    </a:prstGeom>
                    <a:noFill/>
                    <a:ln w="9525">
                      <a:noFill/>
                    </a:ln>
                  </pic:spPr>
                </pic:pic>
              </a:graphicData>
            </a:graphic>
          </wp:inline>
        </w:drawing>
      </w:r>
    </w:p>
    <w:p>
      <w:pPr>
        <w:pStyle w:val="39"/>
        <w:bidi w:val="0"/>
        <w:ind w:left="0" w:leftChars="0" w:firstLine="0" w:firstLineChars="0"/>
        <w:jc w:val="left"/>
        <w:rPr>
          <w:rFonts w:hint="default" w:ascii="Times New Roman" w:hAnsi="Times New Roman" w:eastAsia="宋体" w:cs="Times New Roman"/>
          <w:b/>
          <w:bCs/>
          <w:lang w:val="en-US" w:eastAsia="zh-CN"/>
        </w:rPr>
      </w:pPr>
    </w:p>
    <w:p>
      <w:pPr>
        <w:pStyle w:val="39"/>
        <w:bidi w:val="0"/>
        <w:ind w:left="0" w:leftChars="0" w:firstLine="0" w:firstLineChars="0"/>
        <w:jc w:val="both"/>
        <w:rPr>
          <w:rFonts w:hint="default" w:ascii="Times New Roman" w:hAnsi="Times New Roman" w:eastAsia="宋体" w:cs="Times New Roman"/>
          <w:b/>
          <w:bCs/>
          <w:lang w:val="en-US" w:eastAsia="zh-CN"/>
        </w:rPr>
      </w:pPr>
      <w:r>
        <w:rPr>
          <w:rFonts w:hint="default" w:ascii="宋体" w:hAnsi="宋体" w:cs="宋体"/>
          <w:b/>
          <w:bCs/>
          <w:sz w:val="22"/>
          <w:szCs w:val="28"/>
          <w:lang w:val="en-US" w:eastAsia="zh-CN"/>
        </w:rPr>
        <w:drawing>
          <wp:inline distT="0" distB="0" distL="114300" distR="114300">
            <wp:extent cx="5922645" cy="7867650"/>
            <wp:effectExtent l="0" t="0" r="1905" b="0"/>
            <wp:docPr id="1" name="图片 1" descr="22880729dc78bb2d8f8db56d272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2880729dc78bb2d8f8db56d2721581"/>
                    <pic:cNvPicPr>
                      <a:picLocks noChangeAspect="1"/>
                    </pic:cNvPicPr>
                  </pic:nvPicPr>
                  <pic:blipFill>
                    <a:blip r:embed="rId29"/>
                    <a:stretch>
                      <a:fillRect/>
                    </a:stretch>
                  </pic:blipFill>
                  <pic:spPr>
                    <a:xfrm>
                      <a:off x="0" y="0"/>
                      <a:ext cx="5922645" cy="7867650"/>
                    </a:xfrm>
                    <a:prstGeom prst="rect">
                      <a:avLst/>
                    </a:prstGeom>
                    <a:noFill/>
                    <a:ln>
                      <a:noFill/>
                    </a:ln>
                  </pic:spPr>
                </pic:pic>
              </a:graphicData>
            </a:graphic>
          </wp:inline>
        </w:drawing>
      </w:r>
    </w:p>
    <w:p>
      <w:pPr>
        <w:pStyle w:val="39"/>
        <w:bidi w:val="0"/>
        <w:ind w:left="0" w:leftChars="0" w:firstLine="0" w:firstLineChars="0"/>
        <w:jc w:val="left"/>
        <w:rPr>
          <w:rFonts w:hint="eastAsia" w:eastAsia="宋体" w:cs="Times New Roman"/>
          <w:b/>
          <w:bCs/>
          <w:color w:val="auto"/>
          <w:lang w:val="en-US" w:eastAsia="zh-CN"/>
        </w:rPr>
      </w:pPr>
    </w:p>
    <w:p>
      <w:pPr>
        <w:pStyle w:val="39"/>
        <w:bidi w:val="0"/>
        <w:ind w:left="0" w:leftChars="0" w:firstLine="0" w:firstLineChars="0"/>
        <w:jc w:val="left"/>
        <w:rPr>
          <w:rFonts w:hint="eastAsia" w:eastAsia="宋体" w:cs="Times New Roman"/>
          <w:b/>
          <w:bCs/>
          <w:color w:val="auto"/>
          <w:lang w:val="en-US" w:eastAsia="zh-CN"/>
        </w:rPr>
      </w:pPr>
    </w:p>
    <w:p>
      <w:pPr>
        <w:pStyle w:val="39"/>
        <w:bidi w:val="0"/>
        <w:ind w:left="0" w:leftChars="0" w:firstLine="0" w:firstLineChars="0"/>
        <w:jc w:val="left"/>
        <w:rPr>
          <w:rFonts w:hint="eastAsia" w:eastAsia="宋体" w:cs="Times New Roman"/>
          <w:b/>
          <w:bCs/>
          <w:color w:val="auto"/>
          <w:lang w:val="en-US" w:eastAsia="zh-CN"/>
        </w:rPr>
      </w:pPr>
    </w:p>
    <w:p>
      <w:pPr>
        <w:pStyle w:val="39"/>
        <w:bidi w:val="0"/>
        <w:ind w:left="0" w:leftChars="0" w:firstLine="0" w:firstLineChars="0"/>
        <w:jc w:val="left"/>
        <w:rPr>
          <w:rFonts w:hint="eastAsia" w:eastAsia="宋体" w:cs="Times New Roman"/>
          <w:b/>
          <w:bCs/>
          <w:color w:val="auto"/>
          <w:lang w:val="en-US" w:eastAsia="zh-CN"/>
        </w:rPr>
      </w:pPr>
    </w:p>
    <w:p>
      <w:pPr>
        <w:pStyle w:val="39"/>
        <w:bidi w:val="0"/>
        <w:ind w:left="0" w:leftChars="0" w:firstLine="0" w:firstLineChars="0"/>
        <w:jc w:val="left"/>
        <w:rPr>
          <w:rFonts w:hint="eastAsia" w:eastAsia="宋体" w:cs="Times New Roman"/>
          <w:b/>
          <w:bCs/>
          <w:color w:val="auto"/>
          <w:lang w:val="en-US" w:eastAsia="zh-CN"/>
        </w:rPr>
      </w:pPr>
    </w:p>
    <w:p>
      <w:pPr>
        <w:pStyle w:val="39"/>
        <w:bidi w:val="0"/>
        <w:ind w:left="0" w:leftChars="0" w:firstLine="0" w:firstLineChars="0"/>
        <w:jc w:val="left"/>
        <w:rPr>
          <w:rFonts w:hint="eastAsia" w:eastAsia="宋体" w:cs="Times New Roman"/>
          <w:b/>
          <w:bCs/>
          <w:lang w:val="en-US" w:eastAsia="zh-CN"/>
        </w:rPr>
      </w:pPr>
      <w:r>
        <w:rPr>
          <w:rFonts w:hint="eastAsia" w:eastAsia="宋体" w:cs="Times New Roman"/>
          <w:b/>
          <w:bCs/>
          <w:color w:val="auto"/>
          <w:lang w:val="en-US" w:eastAsia="zh-CN"/>
        </w:rPr>
        <w:t>附件5：证明材料</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791200" cy="7972425"/>
            <wp:effectExtent l="0" t="0" r="0" b="9525"/>
            <wp:docPr id="4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IMG_256"/>
                    <pic:cNvPicPr>
                      <a:picLocks noChangeAspect="1"/>
                    </pic:cNvPicPr>
                  </pic:nvPicPr>
                  <pic:blipFill>
                    <a:blip r:embed="rId30"/>
                    <a:stretch>
                      <a:fillRect/>
                    </a:stretch>
                  </pic:blipFill>
                  <pic:spPr>
                    <a:xfrm>
                      <a:off x="0" y="0"/>
                      <a:ext cx="5791200" cy="7972425"/>
                    </a:xfrm>
                    <a:prstGeom prst="rect">
                      <a:avLst/>
                    </a:prstGeom>
                    <a:noFill/>
                    <a:ln w="9525">
                      <a:noFill/>
                    </a:ln>
                  </pic:spPr>
                </pic:pic>
              </a:graphicData>
            </a:graphic>
          </wp:inline>
        </w:drawing>
      </w:r>
    </w:p>
    <w:p>
      <w:pPr>
        <w:pStyle w:val="39"/>
        <w:bidi w:val="0"/>
        <w:ind w:left="0" w:leftChars="0" w:firstLine="0" w:firstLineChars="0"/>
        <w:jc w:val="left"/>
        <w:rPr>
          <w:rFonts w:hint="default" w:eastAsia="宋体" w:cs="Times New Roman"/>
          <w:b/>
          <w:bCs/>
          <w:lang w:val="en-US" w:eastAsia="zh-CN"/>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791200" cy="7991475"/>
            <wp:effectExtent l="0" t="0" r="0" b="9525"/>
            <wp:docPr id="42"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descr="IMG_256"/>
                    <pic:cNvPicPr>
                      <a:picLocks noChangeAspect="1"/>
                    </pic:cNvPicPr>
                  </pic:nvPicPr>
                  <pic:blipFill>
                    <a:blip r:embed="rId31"/>
                    <a:stretch>
                      <a:fillRect/>
                    </a:stretch>
                  </pic:blipFill>
                  <pic:spPr>
                    <a:xfrm>
                      <a:off x="0" y="0"/>
                      <a:ext cx="5791200" cy="799147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800725" cy="8039100"/>
            <wp:effectExtent l="0" t="0" r="9525" b="0"/>
            <wp:docPr id="4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descr="IMG_256"/>
                    <pic:cNvPicPr>
                      <a:picLocks noChangeAspect="1"/>
                    </pic:cNvPicPr>
                  </pic:nvPicPr>
                  <pic:blipFill>
                    <a:blip r:embed="rId32"/>
                    <a:stretch>
                      <a:fillRect/>
                    </a:stretch>
                  </pic:blipFill>
                  <pic:spPr>
                    <a:xfrm>
                      <a:off x="0" y="0"/>
                      <a:ext cx="5800725" cy="80391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772150" cy="8077200"/>
            <wp:effectExtent l="0" t="0" r="0" b="0"/>
            <wp:docPr id="49"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descr="IMG_256"/>
                    <pic:cNvPicPr>
                      <a:picLocks noChangeAspect="1"/>
                    </pic:cNvPicPr>
                  </pic:nvPicPr>
                  <pic:blipFill>
                    <a:blip r:embed="rId33"/>
                    <a:stretch>
                      <a:fillRect/>
                    </a:stretch>
                  </pic:blipFill>
                  <pic:spPr>
                    <a:xfrm>
                      <a:off x="0" y="0"/>
                      <a:ext cx="5772150" cy="8077200"/>
                    </a:xfrm>
                    <a:prstGeom prst="rect">
                      <a:avLst/>
                    </a:prstGeom>
                    <a:noFill/>
                    <a:ln w="9525">
                      <a:noFill/>
                    </a:ln>
                  </pic:spPr>
                </pic:pic>
              </a:graphicData>
            </a:graphic>
          </wp:inline>
        </w:drawing>
      </w:r>
    </w:p>
    <w:p>
      <w:pPr>
        <w:keepNext w:val="0"/>
        <w:keepLines w:val="0"/>
        <w:widowControl/>
        <w:suppressLineNumbers w:val="0"/>
        <w:jc w:val="left"/>
      </w:pPr>
    </w:p>
    <w:p>
      <w:pPr>
        <w:keepNext w:val="0"/>
        <w:keepLines w:val="0"/>
        <w:widowControl/>
        <w:suppressLineNumbers w:val="0"/>
        <w:jc w:val="left"/>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838825" cy="7991475"/>
            <wp:effectExtent l="0" t="0" r="9525" b="9525"/>
            <wp:docPr id="53"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descr="IMG_256"/>
                    <pic:cNvPicPr>
                      <a:picLocks noChangeAspect="1"/>
                    </pic:cNvPicPr>
                  </pic:nvPicPr>
                  <pic:blipFill>
                    <a:blip r:embed="rId34"/>
                    <a:stretch>
                      <a:fillRect/>
                    </a:stretch>
                  </pic:blipFill>
                  <pic:spPr>
                    <a:xfrm>
                      <a:off x="0" y="0"/>
                      <a:ext cx="5838825" cy="7991475"/>
                    </a:xfrm>
                    <a:prstGeom prst="rect">
                      <a:avLst/>
                    </a:prstGeom>
                    <a:noFill/>
                    <a:ln w="9525">
                      <a:noFill/>
                    </a:ln>
                  </pic:spPr>
                </pic:pic>
              </a:graphicData>
            </a:graphic>
          </wp:inline>
        </w:drawing>
      </w:r>
    </w:p>
    <w:p>
      <w:pPr>
        <w:pStyle w:val="39"/>
        <w:bidi w:val="0"/>
        <w:ind w:left="0" w:leftChars="0" w:firstLine="0" w:firstLineChars="0"/>
        <w:jc w:val="left"/>
        <w:rPr>
          <w:rFonts w:hint="default" w:eastAsia="宋体" w:cs="Times New Roman"/>
          <w:b/>
          <w:bCs/>
          <w:lang w:val="en-US" w:eastAsia="zh-CN"/>
        </w:rPr>
      </w:pPr>
    </w:p>
    <w:p>
      <w:pPr>
        <w:pStyle w:val="39"/>
        <w:bidi w:val="0"/>
        <w:ind w:left="0" w:leftChars="0" w:firstLine="0" w:firstLineChars="0"/>
        <w:jc w:val="left"/>
        <w:rPr>
          <w:rFonts w:hint="default" w:ascii="Times New Roman" w:hAnsi="Times New Roman" w:eastAsia="宋体" w:cs="Times New Roman"/>
          <w:b/>
          <w:bCs/>
          <w:lang w:val="en-US" w:eastAsia="zh-CN"/>
        </w:rPr>
      </w:pPr>
    </w:p>
    <w:p>
      <w:pPr>
        <w:pStyle w:val="39"/>
        <w:bidi w:val="0"/>
        <w:ind w:left="0" w:leftChars="0" w:firstLine="0" w:firstLineChars="0"/>
        <w:jc w:val="left"/>
        <w:rPr>
          <w:rFonts w:hint="default" w:ascii="Times New Roman" w:hAnsi="Times New Roman" w:eastAsia="宋体" w:cs="Times New Roman"/>
          <w:b/>
          <w:bCs/>
          <w:lang w:val="en-US" w:eastAsia="zh-CN"/>
        </w:rPr>
      </w:pPr>
    </w:p>
    <w:p>
      <w:pPr>
        <w:pStyle w:val="39"/>
        <w:bidi w:val="0"/>
        <w:ind w:left="0" w:leftChars="0" w:firstLine="0" w:firstLineChars="0"/>
        <w:jc w:val="left"/>
        <w:rPr>
          <w:rFonts w:hint="default" w:ascii="Times New Roman" w:hAnsi="Times New Roman" w:eastAsia="宋体" w:cs="Times New Roman"/>
          <w:b/>
          <w:bCs/>
        </w:rPr>
      </w:pP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791200" cy="8058150"/>
            <wp:effectExtent l="0" t="0" r="0" b="0"/>
            <wp:docPr id="5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descr="IMG_256"/>
                    <pic:cNvPicPr>
                      <a:picLocks noChangeAspect="1"/>
                    </pic:cNvPicPr>
                  </pic:nvPicPr>
                  <pic:blipFill>
                    <a:blip r:embed="rId35"/>
                    <a:stretch>
                      <a:fillRect/>
                    </a:stretch>
                  </pic:blipFill>
                  <pic:spPr>
                    <a:xfrm>
                      <a:off x="0" y="0"/>
                      <a:ext cx="5791200" cy="8058150"/>
                    </a:xfrm>
                    <a:prstGeom prst="rect">
                      <a:avLst/>
                    </a:prstGeom>
                    <a:noFill/>
                    <a:ln w="9525">
                      <a:noFill/>
                    </a:ln>
                  </pic:spPr>
                </pic:pic>
              </a:graphicData>
            </a:graphic>
          </wp:inline>
        </w:drawing>
      </w: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default" w:ascii="Times New Roman" w:hAnsi="Times New Roman" w:eastAsia="宋体" w:cs="Times New Roman"/>
          <w:b/>
          <w:bCs/>
        </w:rPr>
      </w:pPr>
    </w:p>
    <w:p>
      <w:pPr>
        <w:pStyle w:val="39"/>
        <w:bidi w:val="0"/>
        <w:ind w:left="0" w:leftChars="0" w:firstLine="0" w:firstLineChars="0"/>
        <w:jc w:val="left"/>
        <w:rPr>
          <w:rFonts w:hint="eastAsia" w:eastAsia="宋体" w:cs="Times New Roman"/>
          <w:b/>
          <w:bCs/>
          <w:color w:val="auto"/>
          <w:lang w:val="en-US" w:eastAsia="zh-CN"/>
        </w:rPr>
      </w:pPr>
    </w:p>
    <w:p>
      <w:pPr>
        <w:pStyle w:val="39"/>
        <w:bidi w:val="0"/>
        <w:ind w:left="0" w:leftChars="0" w:firstLine="0" w:firstLineChars="0"/>
        <w:jc w:val="left"/>
        <w:rPr>
          <w:rFonts w:hint="eastAsia" w:eastAsia="宋体" w:cs="Times New Roman"/>
          <w:b/>
          <w:bCs/>
          <w:sz w:val="24"/>
          <w:szCs w:val="24"/>
          <w:lang w:eastAsia="zh-CN"/>
        </w:rPr>
      </w:pPr>
      <w:r>
        <w:rPr>
          <w:rFonts w:hint="eastAsia" w:eastAsia="宋体" w:cs="Times New Roman"/>
          <w:b/>
          <w:bCs/>
          <w:color w:val="auto"/>
          <w:lang w:val="en-US" w:eastAsia="zh-CN"/>
        </w:rPr>
        <w:t>附件6：</w:t>
      </w:r>
      <w:r>
        <w:rPr>
          <w:rFonts w:hint="eastAsia" w:eastAsia="宋体" w:cs="Times New Roman"/>
          <w:b/>
          <w:bCs/>
          <w:color w:val="auto"/>
          <w:sz w:val="24"/>
          <w:szCs w:val="24"/>
          <w:lang w:eastAsia="zh-CN"/>
        </w:rPr>
        <w:t>危废合同及</w:t>
      </w:r>
      <w:r>
        <w:rPr>
          <w:rFonts w:hint="eastAsia" w:eastAsia="宋体" w:cs="Times New Roman"/>
          <w:b/>
          <w:bCs/>
          <w:sz w:val="24"/>
          <w:szCs w:val="24"/>
          <w:lang w:eastAsia="zh-CN"/>
        </w:rPr>
        <w:t>危废仓库照片</w:t>
      </w:r>
      <w:r>
        <w:rPr>
          <w:rFonts w:hint="eastAsia" w:eastAsia="宋体" w:cs="Times New Roman"/>
          <w:b/>
          <w:bCs/>
          <w:sz w:val="24"/>
          <w:szCs w:val="24"/>
          <w:lang w:eastAsia="zh-CN"/>
        </w:rPr>
        <w:drawing>
          <wp:inline distT="0" distB="0" distL="114300" distR="114300">
            <wp:extent cx="5952490" cy="8390890"/>
            <wp:effectExtent l="0" t="0" r="10160" b="10160"/>
            <wp:docPr id="6" name="图片 6" descr="95c8baaf708cffd67115153b92edb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5c8baaf708cffd67115153b92edb0d"/>
                    <pic:cNvPicPr>
                      <a:picLocks noChangeAspect="1"/>
                    </pic:cNvPicPr>
                  </pic:nvPicPr>
                  <pic:blipFill>
                    <a:blip r:embed="rId36"/>
                    <a:stretch>
                      <a:fillRect/>
                    </a:stretch>
                  </pic:blipFill>
                  <pic:spPr>
                    <a:xfrm>
                      <a:off x="0" y="0"/>
                      <a:ext cx="5952490" cy="8390890"/>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053455" cy="8578850"/>
            <wp:effectExtent l="0" t="0" r="4445" b="12700"/>
            <wp:docPr id="7" name="图片 7" descr="605e94eeea95fd65aacf572c98e96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05e94eeea95fd65aacf572c98e96e9"/>
                    <pic:cNvPicPr>
                      <a:picLocks noChangeAspect="1"/>
                    </pic:cNvPicPr>
                  </pic:nvPicPr>
                  <pic:blipFill>
                    <a:blip r:embed="rId37"/>
                    <a:stretch>
                      <a:fillRect/>
                    </a:stretch>
                  </pic:blipFill>
                  <pic:spPr>
                    <a:xfrm>
                      <a:off x="0" y="0"/>
                      <a:ext cx="6053455" cy="8578850"/>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5951855" cy="8609965"/>
            <wp:effectExtent l="0" t="0" r="10795" b="635"/>
            <wp:docPr id="8" name="图片 8" descr="99ebd64e9543addc37dc99b6212b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9ebd64e9543addc37dc99b6212b300"/>
                    <pic:cNvPicPr>
                      <a:picLocks noChangeAspect="1"/>
                    </pic:cNvPicPr>
                  </pic:nvPicPr>
                  <pic:blipFill>
                    <a:blip r:embed="rId38"/>
                    <a:stretch>
                      <a:fillRect/>
                    </a:stretch>
                  </pic:blipFill>
                  <pic:spPr>
                    <a:xfrm>
                      <a:off x="0" y="0"/>
                      <a:ext cx="5951855" cy="8609965"/>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149340" cy="8849995"/>
            <wp:effectExtent l="0" t="0" r="3810" b="8255"/>
            <wp:docPr id="9" name="图片 9" descr="9029c1f3bbb5a6577168e8f5fdbc7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029c1f3bbb5a6577168e8f5fdbc7a5"/>
                    <pic:cNvPicPr>
                      <a:picLocks noChangeAspect="1"/>
                    </pic:cNvPicPr>
                  </pic:nvPicPr>
                  <pic:blipFill>
                    <a:blip r:embed="rId39"/>
                    <a:stretch>
                      <a:fillRect/>
                    </a:stretch>
                  </pic:blipFill>
                  <pic:spPr>
                    <a:xfrm>
                      <a:off x="0" y="0"/>
                      <a:ext cx="6149340" cy="8849995"/>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141085" cy="8847455"/>
            <wp:effectExtent l="0" t="0" r="12065" b="10795"/>
            <wp:docPr id="10" name="图片 10" descr="db11b7050ba01c626a7aa8614f8e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b11b7050ba01c626a7aa8614f8e967"/>
                    <pic:cNvPicPr>
                      <a:picLocks noChangeAspect="1"/>
                    </pic:cNvPicPr>
                  </pic:nvPicPr>
                  <pic:blipFill>
                    <a:blip r:embed="rId40"/>
                    <a:stretch>
                      <a:fillRect/>
                    </a:stretch>
                  </pic:blipFill>
                  <pic:spPr>
                    <a:xfrm>
                      <a:off x="0" y="0"/>
                      <a:ext cx="6141085" cy="8847455"/>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168390" cy="8852535"/>
            <wp:effectExtent l="0" t="0" r="3810" b="5715"/>
            <wp:docPr id="38" name="图片 38" descr="dac9742eb93d790a777509b113c2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ac9742eb93d790a777509b113c22a3"/>
                    <pic:cNvPicPr>
                      <a:picLocks noChangeAspect="1"/>
                    </pic:cNvPicPr>
                  </pic:nvPicPr>
                  <pic:blipFill>
                    <a:blip r:embed="rId41"/>
                    <a:stretch>
                      <a:fillRect/>
                    </a:stretch>
                  </pic:blipFill>
                  <pic:spPr>
                    <a:xfrm>
                      <a:off x="0" y="0"/>
                      <a:ext cx="6168390" cy="8852535"/>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097270" cy="8862060"/>
            <wp:effectExtent l="0" t="0" r="17780" b="15240"/>
            <wp:docPr id="39" name="图片 39" descr="b11716ee89a6201bc473ef32132f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b11716ee89a6201bc473ef32132fa19"/>
                    <pic:cNvPicPr>
                      <a:picLocks noChangeAspect="1"/>
                    </pic:cNvPicPr>
                  </pic:nvPicPr>
                  <pic:blipFill>
                    <a:blip r:embed="rId42"/>
                    <a:stretch>
                      <a:fillRect/>
                    </a:stretch>
                  </pic:blipFill>
                  <pic:spPr>
                    <a:xfrm>
                      <a:off x="0" y="0"/>
                      <a:ext cx="6097270" cy="8862060"/>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155055" cy="8855710"/>
            <wp:effectExtent l="0" t="0" r="17145" b="2540"/>
            <wp:docPr id="40" name="图片 40" descr="90c6c550b35c7c83e20d2b5ebcd58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90c6c550b35c7c83e20d2b5ebcd58d1"/>
                    <pic:cNvPicPr>
                      <a:picLocks noChangeAspect="1"/>
                    </pic:cNvPicPr>
                  </pic:nvPicPr>
                  <pic:blipFill>
                    <a:blip r:embed="rId43"/>
                    <a:stretch>
                      <a:fillRect/>
                    </a:stretch>
                  </pic:blipFill>
                  <pic:spPr>
                    <a:xfrm>
                      <a:off x="0" y="0"/>
                      <a:ext cx="6155055" cy="8855710"/>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170930" cy="8850630"/>
            <wp:effectExtent l="0" t="0" r="1270" b="7620"/>
            <wp:docPr id="44" name="图片 44" descr="6f4c48265aa6199b1d1a7373d25ee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f4c48265aa6199b1d1a7373d25eeb2"/>
                    <pic:cNvPicPr>
                      <a:picLocks noChangeAspect="1"/>
                    </pic:cNvPicPr>
                  </pic:nvPicPr>
                  <pic:blipFill>
                    <a:blip r:embed="rId44"/>
                    <a:stretch>
                      <a:fillRect/>
                    </a:stretch>
                  </pic:blipFill>
                  <pic:spPr>
                    <a:xfrm>
                      <a:off x="0" y="0"/>
                      <a:ext cx="6170930" cy="8850630"/>
                    </a:xfrm>
                    <a:prstGeom prst="rect">
                      <a:avLst/>
                    </a:prstGeom>
                  </pic:spPr>
                </pic:pic>
              </a:graphicData>
            </a:graphic>
          </wp:inline>
        </w:drawing>
      </w:r>
      <w:r>
        <w:rPr>
          <w:rFonts w:hint="eastAsia" w:eastAsia="宋体" w:cs="Times New Roman"/>
          <w:b/>
          <w:bCs/>
          <w:sz w:val="24"/>
          <w:szCs w:val="24"/>
          <w:lang w:eastAsia="zh-CN"/>
        </w:rPr>
        <w:drawing>
          <wp:inline distT="0" distB="0" distL="114300" distR="114300">
            <wp:extent cx="6140450" cy="8860790"/>
            <wp:effectExtent l="0" t="0" r="12700" b="16510"/>
            <wp:docPr id="45" name="图片 45" descr="17b5bd91c7e0f6f0ff8ed89c86cc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7b5bd91c7e0f6f0ff8ed89c86cc596"/>
                    <pic:cNvPicPr>
                      <a:picLocks noChangeAspect="1"/>
                    </pic:cNvPicPr>
                  </pic:nvPicPr>
                  <pic:blipFill>
                    <a:blip r:embed="rId45"/>
                    <a:stretch>
                      <a:fillRect/>
                    </a:stretch>
                  </pic:blipFill>
                  <pic:spPr>
                    <a:xfrm>
                      <a:off x="0" y="0"/>
                      <a:ext cx="6140450" cy="8860790"/>
                    </a:xfrm>
                    <a:prstGeom prst="rect">
                      <a:avLst/>
                    </a:prstGeom>
                  </pic:spPr>
                </pic:pic>
              </a:graphicData>
            </a:graphic>
          </wp:inline>
        </w:drawing>
      </w:r>
    </w:p>
    <w:p>
      <w:pPr>
        <w:pStyle w:val="39"/>
        <w:bidi w:val="0"/>
        <w:ind w:left="0" w:leftChars="0" w:firstLine="0" w:firstLineChars="0"/>
        <w:jc w:val="left"/>
        <w:rPr>
          <w:rFonts w:hint="eastAsia" w:eastAsia="宋体" w:cs="Times New Roman"/>
          <w:b/>
          <w:bCs/>
          <w:sz w:val="24"/>
          <w:szCs w:val="24"/>
          <w:lang w:val="en-US" w:eastAsia="zh-CN"/>
        </w:rPr>
      </w:pPr>
      <w:r>
        <w:rPr>
          <w:rFonts w:hint="eastAsia" w:eastAsia="宋体" w:cs="Times New Roman"/>
          <w:b/>
          <w:bCs/>
          <w:sz w:val="24"/>
          <w:szCs w:val="24"/>
          <w:lang w:val="en-US" w:eastAsia="zh-CN"/>
        </w:rPr>
        <w:drawing>
          <wp:inline distT="0" distB="0" distL="114300" distR="114300">
            <wp:extent cx="3067050" cy="4090670"/>
            <wp:effectExtent l="0" t="0" r="0" b="5080"/>
            <wp:docPr id="3" name="图片 3" descr="07a460ed496f2be690dde14f65e1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7a460ed496f2be690dde14f65e1ad9"/>
                    <pic:cNvPicPr>
                      <a:picLocks noChangeAspect="1"/>
                    </pic:cNvPicPr>
                  </pic:nvPicPr>
                  <pic:blipFill>
                    <a:blip r:embed="rId46"/>
                    <a:stretch>
                      <a:fillRect/>
                    </a:stretch>
                  </pic:blipFill>
                  <pic:spPr>
                    <a:xfrm>
                      <a:off x="0" y="0"/>
                      <a:ext cx="3067050" cy="4090670"/>
                    </a:xfrm>
                    <a:prstGeom prst="rect">
                      <a:avLst/>
                    </a:prstGeom>
                  </pic:spPr>
                </pic:pic>
              </a:graphicData>
            </a:graphic>
          </wp:inline>
        </w:drawing>
      </w:r>
      <w:r>
        <w:rPr>
          <w:rFonts w:hint="eastAsia" w:eastAsia="宋体" w:cs="Times New Roman"/>
          <w:b/>
          <w:bCs/>
          <w:sz w:val="24"/>
          <w:szCs w:val="24"/>
          <w:lang w:val="en-US" w:eastAsia="zh-CN"/>
        </w:rPr>
        <w:t xml:space="preserve">    </w:t>
      </w:r>
      <w:r>
        <w:rPr>
          <w:rFonts w:hint="eastAsia" w:eastAsia="宋体" w:cs="Times New Roman"/>
          <w:b/>
          <w:bCs/>
          <w:sz w:val="24"/>
          <w:szCs w:val="24"/>
          <w:lang w:val="en-US" w:eastAsia="zh-CN"/>
        </w:rPr>
        <w:drawing>
          <wp:inline distT="0" distB="0" distL="114300" distR="114300">
            <wp:extent cx="2821940" cy="4076700"/>
            <wp:effectExtent l="0" t="0" r="16510" b="0"/>
            <wp:docPr id="2" name="图片 2" descr="0bfd2c38f4bee75a6554611a277b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bfd2c38f4bee75a6554611a277be30"/>
                    <pic:cNvPicPr>
                      <a:picLocks noChangeAspect="1"/>
                    </pic:cNvPicPr>
                  </pic:nvPicPr>
                  <pic:blipFill>
                    <a:blip r:embed="rId47"/>
                    <a:stretch>
                      <a:fillRect/>
                    </a:stretch>
                  </pic:blipFill>
                  <pic:spPr>
                    <a:xfrm>
                      <a:off x="0" y="0"/>
                      <a:ext cx="2821940" cy="4076700"/>
                    </a:xfrm>
                    <a:prstGeom prst="rect">
                      <a:avLst/>
                    </a:prstGeom>
                  </pic:spPr>
                </pic:pic>
              </a:graphicData>
            </a:graphic>
          </wp:inline>
        </w:drawing>
      </w:r>
    </w:p>
    <w:p>
      <w:pPr>
        <w:pStyle w:val="39"/>
        <w:bidi w:val="0"/>
        <w:ind w:left="0" w:leftChars="0" w:firstLine="0" w:firstLineChars="0"/>
        <w:jc w:val="left"/>
        <w:rPr>
          <w:rFonts w:hint="eastAsia" w:ascii="Times New Roman" w:hAnsi="Times New Roman" w:eastAsia="宋体" w:cs="Times New Roman"/>
          <w:b/>
          <w:bCs/>
          <w:lang w:eastAsia="zh-CN"/>
        </w:rPr>
      </w:pPr>
      <w:r>
        <w:rPr>
          <w:rFonts w:hint="default" w:ascii="Times New Roman" w:hAnsi="Times New Roman" w:eastAsia="宋体" w:cs="Times New Roman"/>
          <w:b/>
          <w:bCs/>
          <w:color w:val="auto"/>
        </w:rPr>
        <w:t>附件</w:t>
      </w:r>
      <w:r>
        <w:rPr>
          <w:rFonts w:hint="eastAsia" w:eastAsia="宋体" w:cs="Times New Roman"/>
          <w:b/>
          <w:bCs/>
          <w:color w:val="auto"/>
          <w:lang w:val="en-US" w:eastAsia="zh-CN"/>
        </w:rPr>
        <w:t>7</w:t>
      </w:r>
      <w:r>
        <w:rPr>
          <w:rFonts w:hint="default" w:ascii="Times New Roman" w:hAnsi="Times New Roman" w:eastAsia="宋体" w:cs="Times New Roman"/>
          <w:b/>
          <w:bCs/>
          <w:color w:val="auto"/>
          <w:lang w:val="en-US" w:eastAsia="zh-CN"/>
        </w:rPr>
        <w:t>：监测报告</w:t>
      </w:r>
      <w:r>
        <w:rPr>
          <w:rFonts w:hint="eastAsia" w:ascii="Times New Roman" w:hAnsi="Times New Roman" w:eastAsia="宋体" w:cs="Times New Roman"/>
          <w:b/>
          <w:bCs/>
          <w:lang w:eastAsia="zh-CN"/>
        </w:rPr>
        <w:drawing>
          <wp:inline distT="0" distB="0" distL="114300" distR="114300">
            <wp:extent cx="6043295" cy="8546465"/>
            <wp:effectExtent l="0" t="0" r="14605" b="6985"/>
            <wp:docPr id="37" name="图片 37" descr="SKM_C4582310241457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SKM_C45823102414570_0001"/>
                    <pic:cNvPicPr>
                      <a:picLocks noChangeAspect="1"/>
                    </pic:cNvPicPr>
                  </pic:nvPicPr>
                  <pic:blipFill>
                    <a:blip r:embed="rId48"/>
                    <a:stretch>
                      <a:fillRect/>
                    </a:stretch>
                  </pic:blipFill>
                  <pic:spPr>
                    <a:xfrm>
                      <a:off x="0" y="0"/>
                      <a:ext cx="6043295" cy="854646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36" name="图片 36" descr="SKM_C4582310241457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SKM_C45823102414570_0002"/>
                    <pic:cNvPicPr>
                      <a:picLocks noChangeAspect="1"/>
                    </pic:cNvPicPr>
                  </pic:nvPicPr>
                  <pic:blipFill>
                    <a:blip r:embed="rId49"/>
                    <a:stretch>
                      <a:fillRect/>
                    </a:stretch>
                  </pic:blipFill>
                  <pic:spPr>
                    <a:xfrm>
                      <a:off x="0" y="0"/>
                      <a:ext cx="6266180" cy="886142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35" name="图片 35" descr="SKM_C45823102414570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SKM_C45823102414570_0003"/>
                    <pic:cNvPicPr>
                      <a:picLocks noChangeAspect="1"/>
                    </pic:cNvPicPr>
                  </pic:nvPicPr>
                  <pic:blipFill>
                    <a:blip r:embed="rId50"/>
                    <a:stretch>
                      <a:fillRect/>
                    </a:stretch>
                  </pic:blipFill>
                  <pic:spPr>
                    <a:xfrm>
                      <a:off x="0" y="0"/>
                      <a:ext cx="6266180" cy="886142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33" name="图片 33" descr="SKM_C4582310241457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KM_C45823102414570_0004"/>
                    <pic:cNvPicPr>
                      <a:picLocks noChangeAspect="1"/>
                    </pic:cNvPicPr>
                  </pic:nvPicPr>
                  <pic:blipFill>
                    <a:blip r:embed="rId51"/>
                    <a:stretch>
                      <a:fillRect/>
                    </a:stretch>
                  </pic:blipFill>
                  <pic:spPr>
                    <a:xfrm>
                      <a:off x="0" y="0"/>
                      <a:ext cx="6266180" cy="886142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32" name="图片 32" descr="SKM_C45823102414570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SKM_C45823102414570_0005"/>
                    <pic:cNvPicPr>
                      <a:picLocks noChangeAspect="1"/>
                    </pic:cNvPicPr>
                  </pic:nvPicPr>
                  <pic:blipFill>
                    <a:blip r:embed="rId52"/>
                    <a:stretch>
                      <a:fillRect/>
                    </a:stretch>
                  </pic:blipFill>
                  <pic:spPr>
                    <a:xfrm>
                      <a:off x="0" y="0"/>
                      <a:ext cx="6266180" cy="886142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31" name="图片 31" descr="SKM_C45823102414570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KM_C45823102414570_0006"/>
                    <pic:cNvPicPr>
                      <a:picLocks noChangeAspect="1"/>
                    </pic:cNvPicPr>
                  </pic:nvPicPr>
                  <pic:blipFill>
                    <a:blip r:embed="rId53"/>
                    <a:stretch>
                      <a:fillRect/>
                    </a:stretch>
                  </pic:blipFill>
                  <pic:spPr>
                    <a:xfrm>
                      <a:off x="0" y="0"/>
                      <a:ext cx="6266180" cy="886142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18" name="图片 18" descr="SKM_C45823102414570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KM_C45823102414570_0007"/>
                    <pic:cNvPicPr>
                      <a:picLocks noChangeAspect="1"/>
                    </pic:cNvPicPr>
                  </pic:nvPicPr>
                  <pic:blipFill>
                    <a:blip r:embed="rId54"/>
                    <a:stretch>
                      <a:fillRect/>
                    </a:stretch>
                  </pic:blipFill>
                  <pic:spPr>
                    <a:xfrm>
                      <a:off x="0" y="0"/>
                      <a:ext cx="6266180" cy="886142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14" name="图片 14" descr="SKM_C45823102414570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KM_C45823102414570_0008"/>
                    <pic:cNvPicPr>
                      <a:picLocks noChangeAspect="1"/>
                    </pic:cNvPicPr>
                  </pic:nvPicPr>
                  <pic:blipFill>
                    <a:blip r:embed="rId55"/>
                    <a:stretch>
                      <a:fillRect/>
                    </a:stretch>
                  </pic:blipFill>
                  <pic:spPr>
                    <a:xfrm>
                      <a:off x="0" y="0"/>
                      <a:ext cx="6266180" cy="8861425"/>
                    </a:xfrm>
                    <a:prstGeom prst="rect">
                      <a:avLst/>
                    </a:prstGeom>
                  </pic:spPr>
                </pic:pic>
              </a:graphicData>
            </a:graphic>
          </wp:inline>
        </w:drawing>
      </w:r>
      <w:r>
        <w:rPr>
          <w:rFonts w:hint="eastAsia" w:ascii="Times New Roman" w:hAnsi="Times New Roman" w:eastAsia="宋体" w:cs="Times New Roman"/>
          <w:b/>
          <w:bCs/>
          <w:lang w:eastAsia="zh-CN"/>
        </w:rPr>
        <w:drawing>
          <wp:inline distT="0" distB="0" distL="114300" distR="114300">
            <wp:extent cx="6266180" cy="8861425"/>
            <wp:effectExtent l="0" t="0" r="1270" b="15875"/>
            <wp:docPr id="12" name="图片 12" descr="SKM_C45823102414570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KM_C45823102414570_0009"/>
                    <pic:cNvPicPr>
                      <a:picLocks noChangeAspect="1"/>
                    </pic:cNvPicPr>
                  </pic:nvPicPr>
                  <pic:blipFill>
                    <a:blip r:embed="rId56"/>
                    <a:stretch>
                      <a:fillRect/>
                    </a:stretch>
                  </pic:blipFill>
                  <pic:spPr>
                    <a:xfrm>
                      <a:off x="0" y="0"/>
                      <a:ext cx="6266180" cy="8861425"/>
                    </a:xfrm>
                    <a:prstGeom prst="rect">
                      <a:avLst/>
                    </a:prstGeom>
                  </pic:spPr>
                </pic:pic>
              </a:graphicData>
            </a:graphic>
          </wp:inline>
        </w:drawing>
      </w:r>
    </w:p>
    <w:p>
      <w:pPr>
        <w:keepNext w:val="0"/>
        <w:keepLines w:val="0"/>
        <w:widowControl/>
        <w:suppressLineNumbers w:val="0"/>
        <w:jc w:val="center"/>
        <w:rPr>
          <w:rFonts w:hint="eastAsia" w:eastAsia="宋体" w:cs="Times New Roman"/>
          <w:b/>
          <w:bCs/>
          <w:sz w:val="28"/>
          <w:szCs w:val="28"/>
          <w:lang w:eastAsia="zh-CN"/>
        </w:rPr>
      </w:pPr>
      <w:r>
        <w:rPr>
          <w:rFonts w:hint="eastAsia" w:eastAsia="宋体" w:cs="Times New Roman"/>
          <w:b/>
          <w:bCs/>
          <w:sz w:val="28"/>
          <w:szCs w:val="28"/>
          <w:lang w:eastAsia="zh-CN"/>
        </w:rPr>
        <w:t>会议记录及签到表</w:t>
      </w:r>
    </w:p>
    <w:p>
      <w:pPr>
        <w:keepNext w:val="0"/>
        <w:keepLines w:val="0"/>
        <w:widowControl/>
        <w:suppressLineNumbers w:val="0"/>
        <w:jc w:val="center"/>
        <w:rPr>
          <w:rFonts w:hint="eastAsia" w:eastAsia="宋体" w:cs="Times New Roman"/>
          <w:b/>
          <w:bCs/>
          <w:sz w:val="28"/>
          <w:szCs w:val="28"/>
          <w:lang w:eastAsia="zh-CN"/>
        </w:rPr>
      </w:pPr>
    </w:p>
    <w:p>
      <w:pPr>
        <w:keepNext w:val="0"/>
        <w:keepLines w:val="0"/>
        <w:widowControl/>
        <w:suppressLineNumbers w:val="0"/>
        <w:jc w:val="center"/>
      </w:pPr>
      <w:r>
        <w:rPr>
          <w:rFonts w:ascii="宋体" w:hAnsi="宋体" w:eastAsia="宋体" w:cs="宋体"/>
          <w:kern w:val="0"/>
          <w:sz w:val="24"/>
          <w:szCs w:val="24"/>
          <w:lang w:val="en-US" w:eastAsia="zh-CN" w:bidi="ar"/>
        </w:rPr>
        <w:drawing>
          <wp:inline distT="0" distB="0" distL="114300" distR="114300">
            <wp:extent cx="5372100" cy="7705725"/>
            <wp:effectExtent l="0" t="0" r="0" b="9525"/>
            <wp:docPr id="4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descr="IMG_256"/>
                    <pic:cNvPicPr>
                      <a:picLocks noChangeAspect="1"/>
                    </pic:cNvPicPr>
                  </pic:nvPicPr>
                  <pic:blipFill>
                    <a:blip r:embed="rId57"/>
                    <a:stretch>
                      <a:fillRect/>
                    </a:stretch>
                  </pic:blipFill>
                  <pic:spPr>
                    <a:xfrm>
                      <a:off x="0" y="0"/>
                      <a:ext cx="5372100" cy="7705725"/>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304800" cy="304800"/>
            <wp:effectExtent l="0" t="0" r="0" b="0"/>
            <wp:docPr id="4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descr="IMG_256"/>
                    <pic:cNvPicPr>
                      <a:picLocks noChangeAspect="1"/>
                    </pic:cNvPicPr>
                  </pic:nvPicPr>
                  <pic:blipFill>
                    <a:blip r:embed="rId58"/>
                    <a:stretch>
                      <a:fillRect/>
                    </a:stretch>
                  </pic:blipFill>
                  <pic:spPr>
                    <a:xfrm>
                      <a:off x="0" y="0"/>
                      <a:ext cx="304800" cy="3048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304800" cy="304800"/>
            <wp:effectExtent l="0" t="0" r="0" b="0"/>
            <wp:docPr id="4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descr="IMG_256"/>
                    <pic:cNvPicPr>
                      <a:picLocks noChangeAspect="1"/>
                    </pic:cNvPicPr>
                  </pic:nvPicPr>
                  <pic:blipFill>
                    <a:blip r:embed="rId58"/>
                    <a:stretch>
                      <a:fillRect/>
                    </a:stretch>
                  </pic:blipFill>
                  <pic:spPr>
                    <a:xfrm>
                      <a:off x="0" y="0"/>
                      <a:ext cx="304800" cy="304800"/>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304800" cy="304800"/>
            <wp:effectExtent l="0" t="0" r="0" b="0"/>
            <wp:docPr id="5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IMG_256"/>
                    <pic:cNvPicPr>
                      <a:picLocks noChangeAspect="1"/>
                    </pic:cNvPicPr>
                  </pic:nvPicPr>
                  <pic:blipFill>
                    <a:blip r:embed="rId58"/>
                    <a:stretch>
                      <a:fillRect/>
                    </a:stretch>
                  </pic:blipFill>
                  <pic:spPr>
                    <a:xfrm>
                      <a:off x="0" y="0"/>
                      <a:ext cx="304800" cy="304800"/>
                    </a:xfrm>
                    <a:prstGeom prst="rect">
                      <a:avLst/>
                    </a:prstGeom>
                    <a:noFill/>
                    <a:ln w="9525">
                      <a:noFill/>
                    </a:ln>
                  </pic:spPr>
                </pic:pic>
              </a:graphicData>
            </a:graphic>
          </wp:inline>
        </w:drawing>
      </w:r>
    </w:p>
    <w:p>
      <w:pPr>
        <w:keepNext w:val="0"/>
        <w:keepLines w:val="0"/>
        <w:widowControl/>
        <w:suppressLineNumbers w:val="0"/>
        <w:jc w:val="center"/>
      </w:pPr>
      <w:r>
        <w:rPr>
          <w:rFonts w:ascii="宋体" w:hAnsi="宋体" w:eastAsia="宋体" w:cs="宋体"/>
          <w:kern w:val="0"/>
          <w:sz w:val="24"/>
          <w:szCs w:val="24"/>
          <w:lang w:val="en-US" w:eastAsia="zh-CN" w:bidi="ar"/>
        </w:rPr>
        <w:drawing>
          <wp:inline distT="0" distB="0" distL="114300" distR="114300">
            <wp:extent cx="5591175" cy="7953375"/>
            <wp:effectExtent l="0" t="0" r="9525" b="9525"/>
            <wp:docPr id="5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descr="IMG_256"/>
                    <pic:cNvPicPr>
                      <a:picLocks noChangeAspect="1"/>
                    </pic:cNvPicPr>
                  </pic:nvPicPr>
                  <pic:blipFill>
                    <a:blip r:embed="rId59"/>
                    <a:stretch>
                      <a:fillRect/>
                    </a:stretch>
                  </pic:blipFill>
                  <pic:spPr>
                    <a:xfrm>
                      <a:off x="0" y="0"/>
                      <a:ext cx="5591175" cy="7953375"/>
                    </a:xfrm>
                    <a:prstGeom prst="rect">
                      <a:avLst/>
                    </a:prstGeom>
                    <a:noFill/>
                    <a:ln w="9525">
                      <a:noFill/>
                    </a:ln>
                  </pic:spPr>
                </pic:pic>
              </a:graphicData>
            </a:graphic>
          </wp:inline>
        </w:drawing>
      </w:r>
    </w:p>
    <w:p>
      <w:pPr>
        <w:keepNext w:val="0"/>
        <w:keepLines w:val="0"/>
        <w:widowControl/>
        <w:suppressLineNumbers w:val="0"/>
        <w:jc w:val="left"/>
      </w:pPr>
    </w:p>
    <w:p>
      <w:pPr>
        <w:keepNext w:val="0"/>
        <w:keepLines w:val="0"/>
        <w:widowControl/>
        <w:suppressLineNumbers w:val="0"/>
        <w:jc w:val="center"/>
      </w:pPr>
      <w:r>
        <w:rPr>
          <w:rFonts w:ascii="宋体" w:hAnsi="宋体" w:eastAsia="宋体" w:cs="宋体"/>
          <w:kern w:val="0"/>
          <w:sz w:val="24"/>
          <w:szCs w:val="24"/>
          <w:lang w:val="en-US" w:eastAsia="zh-CN" w:bidi="ar"/>
        </w:rPr>
        <w:drawing>
          <wp:inline distT="0" distB="0" distL="114300" distR="114300">
            <wp:extent cx="5467350" cy="7715250"/>
            <wp:effectExtent l="0" t="0" r="0" b="0"/>
            <wp:docPr id="55"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descr="IMG_256"/>
                    <pic:cNvPicPr>
                      <a:picLocks noChangeAspect="1"/>
                    </pic:cNvPicPr>
                  </pic:nvPicPr>
                  <pic:blipFill>
                    <a:blip r:embed="rId60"/>
                    <a:stretch>
                      <a:fillRect/>
                    </a:stretch>
                  </pic:blipFill>
                  <pic:spPr>
                    <a:xfrm>
                      <a:off x="0" y="0"/>
                      <a:ext cx="5467350" cy="7715250"/>
                    </a:xfrm>
                    <a:prstGeom prst="rect">
                      <a:avLst/>
                    </a:prstGeom>
                    <a:noFill/>
                    <a:ln w="9525">
                      <a:noFill/>
                    </a:ln>
                  </pic:spPr>
                </pic:pic>
              </a:graphicData>
            </a:graphic>
          </wp:inline>
        </w:drawing>
      </w:r>
    </w:p>
    <w:p>
      <w:pPr>
        <w:keepNext w:val="0"/>
        <w:keepLines w:val="0"/>
        <w:widowControl/>
        <w:suppressLineNumbers w:val="0"/>
        <w:jc w:val="center"/>
      </w:pPr>
      <w:r>
        <w:rPr>
          <w:rFonts w:ascii="宋体" w:hAnsi="宋体" w:eastAsia="宋体" w:cs="宋体"/>
          <w:kern w:val="0"/>
          <w:sz w:val="24"/>
          <w:szCs w:val="24"/>
          <w:lang w:val="en-US" w:eastAsia="zh-CN" w:bidi="ar"/>
        </w:rPr>
        <w:drawing>
          <wp:inline distT="0" distB="0" distL="114300" distR="114300">
            <wp:extent cx="5657850" cy="7677150"/>
            <wp:effectExtent l="0" t="0" r="0" b="0"/>
            <wp:docPr id="5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descr="IMG_256"/>
                    <pic:cNvPicPr>
                      <a:picLocks noChangeAspect="1"/>
                    </pic:cNvPicPr>
                  </pic:nvPicPr>
                  <pic:blipFill>
                    <a:blip r:embed="rId61"/>
                    <a:stretch>
                      <a:fillRect/>
                    </a:stretch>
                  </pic:blipFill>
                  <pic:spPr>
                    <a:xfrm>
                      <a:off x="0" y="0"/>
                      <a:ext cx="5657850" cy="7677150"/>
                    </a:xfrm>
                    <a:prstGeom prst="rect">
                      <a:avLst/>
                    </a:prstGeom>
                    <a:noFill/>
                    <a:ln w="9525">
                      <a:noFill/>
                    </a:ln>
                  </pic:spPr>
                </pic:pic>
              </a:graphicData>
            </a:graphic>
          </wp:inline>
        </w:drawing>
      </w:r>
    </w:p>
    <w:p>
      <w:pPr>
        <w:keepNext w:val="0"/>
        <w:keepLines w:val="0"/>
        <w:widowControl/>
        <w:suppressLineNumbers w:val="0"/>
        <w:jc w:val="center"/>
      </w:pPr>
      <w:r>
        <w:rPr>
          <w:rFonts w:ascii="宋体" w:hAnsi="宋体" w:eastAsia="宋体" w:cs="宋体"/>
          <w:kern w:val="0"/>
          <w:sz w:val="24"/>
          <w:szCs w:val="24"/>
          <w:lang w:val="en-US" w:eastAsia="zh-CN" w:bidi="ar"/>
        </w:rPr>
        <w:drawing>
          <wp:inline distT="0" distB="0" distL="114300" distR="114300">
            <wp:extent cx="5534025" cy="7724775"/>
            <wp:effectExtent l="0" t="0" r="9525" b="9525"/>
            <wp:docPr id="57"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descr="IMG_256"/>
                    <pic:cNvPicPr>
                      <a:picLocks noChangeAspect="1"/>
                    </pic:cNvPicPr>
                  </pic:nvPicPr>
                  <pic:blipFill>
                    <a:blip r:embed="rId62"/>
                    <a:stretch>
                      <a:fillRect/>
                    </a:stretch>
                  </pic:blipFill>
                  <pic:spPr>
                    <a:xfrm>
                      <a:off x="0" y="0"/>
                      <a:ext cx="5534025" cy="772477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419725" cy="7543800"/>
            <wp:effectExtent l="0" t="0" r="9525" b="0"/>
            <wp:docPr id="58"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descr="IMG_256"/>
                    <pic:cNvPicPr>
                      <a:picLocks noChangeAspect="1"/>
                    </pic:cNvPicPr>
                  </pic:nvPicPr>
                  <pic:blipFill>
                    <a:blip r:embed="rId63"/>
                    <a:stretch>
                      <a:fillRect/>
                    </a:stretch>
                  </pic:blipFill>
                  <pic:spPr>
                    <a:xfrm>
                      <a:off x="0" y="0"/>
                      <a:ext cx="5419725" cy="7543800"/>
                    </a:xfrm>
                    <a:prstGeom prst="rect">
                      <a:avLst/>
                    </a:prstGeom>
                    <a:noFill/>
                    <a:ln w="9525">
                      <a:noFill/>
                    </a:ln>
                  </pic:spPr>
                </pic:pic>
              </a:graphicData>
            </a:graphic>
          </wp:inline>
        </w:drawing>
      </w:r>
    </w:p>
    <w:p>
      <w:pPr>
        <w:keepNext w:val="0"/>
        <w:keepLines w:val="0"/>
        <w:widowControl/>
        <w:suppressLineNumbers w:val="0"/>
        <w:jc w:val="center"/>
      </w:pPr>
    </w:p>
    <w:p>
      <w:pPr>
        <w:pStyle w:val="39"/>
        <w:bidi w:val="0"/>
        <w:ind w:left="0" w:leftChars="0" w:firstLine="0" w:firstLineChars="0"/>
        <w:jc w:val="center"/>
        <w:rPr>
          <w:rFonts w:hint="default" w:ascii="Times New Roman" w:hAnsi="Times New Roman" w:eastAsia="宋体" w:cs="Times New Roman"/>
          <w:b/>
          <w:bCs/>
          <w:lang w:val="en-US" w:eastAsia="zh-CN"/>
        </w:rPr>
      </w:pPr>
    </w:p>
    <w:p>
      <w:pPr>
        <w:pStyle w:val="39"/>
        <w:bidi w:val="0"/>
        <w:ind w:left="0" w:leftChars="0" w:firstLine="0" w:firstLineChars="0"/>
        <w:jc w:val="center"/>
        <w:rPr>
          <w:rFonts w:hint="default" w:ascii="Times New Roman" w:hAnsi="Times New Roman" w:eastAsia="宋体" w:cs="Times New Roman"/>
          <w:b/>
          <w:bCs/>
          <w:lang w:val="en-US" w:eastAsia="zh-CN"/>
        </w:rPr>
      </w:pPr>
    </w:p>
    <w:p>
      <w:pPr>
        <w:pStyle w:val="39"/>
        <w:bidi w:val="0"/>
        <w:ind w:left="0" w:leftChars="0" w:firstLine="0" w:firstLineChars="0"/>
        <w:jc w:val="center"/>
        <w:rPr>
          <w:rFonts w:hint="default" w:ascii="Times New Roman" w:hAnsi="Times New Roman" w:eastAsia="宋体" w:cs="Times New Roman"/>
          <w:b/>
          <w:bCs/>
          <w:lang w:val="en-US" w:eastAsia="zh-CN"/>
        </w:rPr>
      </w:pPr>
    </w:p>
    <w:p>
      <w:pPr>
        <w:pStyle w:val="39"/>
        <w:bidi w:val="0"/>
        <w:ind w:left="0" w:leftChars="0" w:firstLine="0" w:firstLineChars="0"/>
        <w:jc w:val="center"/>
        <w:rPr>
          <w:rFonts w:hint="default" w:ascii="Times New Roman" w:hAnsi="Times New Roman" w:eastAsia="宋体" w:cs="Times New Roman"/>
          <w:b/>
          <w:bCs/>
          <w:lang w:val="en-US" w:eastAsia="zh-CN"/>
        </w:rPr>
      </w:pPr>
    </w:p>
    <w:p>
      <w:pPr>
        <w:pStyle w:val="39"/>
        <w:bidi w:val="0"/>
        <w:ind w:left="0" w:leftChars="0" w:firstLine="0" w:firstLineChars="0"/>
        <w:jc w:val="center"/>
        <w:rPr>
          <w:rFonts w:hint="default" w:ascii="Times New Roman" w:hAnsi="Times New Roman" w:eastAsia="宋体" w:cs="Times New Roman"/>
          <w:b/>
          <w:bCs/>
          <w:lang w:val="en-US" w:eastAsia="zh-CN"/>
        </w:rPr>
      </w:pPr>
    </w:p>
    <w:p>
      <w:pPr>
        <w:pStyle w:val="39"/>
        <w:bidi w:val="0"/>
        <w:ind w:left="0" w:leftChars="0" w:firstLine="0" w:firstLineChars="0"/>
        <w:jc w:val="center"/>
        <w:rPr>
          <w:rFonts w:hint="default" w:ascii="Times New Roman" w:hAnsi="Times New Roman" w:eastAsia="宋体" w:cs="Times New Roman"/>
          <w:b/>
          <w:bCs/>
          <w:lang w:val="en-US" w:eastAsia="zh-CN"/>
        </w:rPr>
      </w:pPr>
    </w:p>
    <w:p>
      <w:pPr>
        <w:keepNext w:val="0"/>
        <w:keepLines w:val="0"/>
        <w:widowControl/>
        <w:suppressLineNumbers w:val="0"/>
        <w:jc w:val="center"/>
        <w:rPr>
          <w:rFonts w:hint="eastAsia" w:ascii="宋体" w:hAnsi="宋体" w:eastAsia="宋体" w:cs="宋体"/>
          <w:b/>
          <w:bCs/>
          <w:kern w:val="0"/>
          <w:sz w:val="28"/>
          <w:szCs w:val="28"/>
          <w:lang w:val="en-US" w:eastAsia="zh-CN" w:bidi="ar"/>
        </w:rPr>
      </w:pPr>
      <w:r>
        <w:rPr>
          <w:rFonts w:hint="eastAsia" w:ascii="宋体" w:hAnsi="宋体" w:eastAsia="宋体" w:cs="宋体"/>
          <w:b/>
          <w:bCs/>
          <w:kern w:val="0"/>
          <w:sz w:val="28"/>
          <w:szCs w:val="28"/>
          <w:lang w:val="en-US" w:eastAsia="zh-CN" w:bidi="ar"/>
        </w:rPr>
        <w:t>其他说明事项</w:t>
      </w:r>
    </w:p>
    <w:p>
      <w:pPr>
        <w:pStyle w:val="2"/>
        <w:jc w:val="center"/>
        <w:rPr>
          <w:rFonts w:hint="eastAsia"/>
          <w:lang w:val="en-US" w:eastAsia="zh-CN"/>
        </w:rPr>
      </w:pPr>
      <w:r>
        <w:rPr>
          <w:rFonts w:ascii="宋体" w:hAnsi="宋体" w:eastAsia="宋体" w:cs="宋体"/>
          <w:kern w:val="0"/>
          <w:sz w:val="24"/>
          <w:szCs w:val="24"/>
          <w:lang w:val="en-US" w:eastAsia="zh-CN" w:bidi="ar"/>
        </w:rPr>
        <w:drawing>
          <wp:inline distT="0" distB="0" distL="114300" distR="114300">
            <wp:extent cx="5848350" cy="7600950"/>
            <wp:effectExtent l="0" t="0" r="0" b="0"/>
            <wp:docPr id="59"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descr="IMG_256"/>
                    <pic:cNvPicPr>
                      <a:picLocks noChangeAspect="1"/>
                    </pic:cNvPicPr>
                  </pic:nvPicPr>
                  <pic:blipFill>
                    <a:blip r:embed="rId64"/>
                    <a:stretch>
                      <a:fillRect/>
                    </a:stretch>
                  </pic:blipFill>
                  <pic:spPr>
                    <a:xfrm>
                      <a:off x="0" y="0"/>
                      <a:ext cx="5848350" cy="7600950"/>
                    </a:xfrm>
                    <a:prstGeom prst="rect">
                      <a:avLst/>
                    </a:prstGeom>
                    <a:noFill/>
                    <a:ln w="9525">
                      <a:noFill/>
                    </a:ln>
                  </pic:spPr>
                </pic:pic>
              </a:graphicData>
            </a:graphic>
          </wp:inline>
        </w:drawing>
      </w:r>
    </w:p>
    <w:p>
      <w:pPr>
        <w:keepNext w:val="0"/>
        <w:keepLines w:val="0"/>
        <w:widowControl/>
        <w:suppressLineNumbers w:val="0"/>
        <w:jc w:val="center"/>
      </w:pPr>
      <w:r>
        <w:rPr>
          <w:rFonts w:ascii="宋体" w:hAnsi="宋体" w:eastAsia="宋体" w:cs="宋体"/>
          <w:kern w:val="0"/>
          <w:sz w:val="24"/>
          <w:szCs w:val="24"/>
          <w:lang w:val="en-US" w:eastAsia="zh-CN" w:bidi="ar"/>
        </w:rPr>
        <w:drawing>
          <wp:inline distT="0" distB="0" distL="114300" distR="114300">
            <wp:extent cx="5372100" cy="7953375"/>
            <wp:effectExtent l="0" t="0" r="0" b="9525"/>
            <wp:docPr id="60"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descr="IMG_256"/>
                    <pic:cNvPicPr>
                      <a:picLocks noChangeAspect="1"/>
                    </pic:cNvPicPr>
                  </pic:nvPicPr>
                  <pic:blipFill>
                    <a:blip r:embed="rId65"/>
                    <a:stretch>
                      <a:fillRect/>
                    </a:stretch>
                  </pic:blipFill>
                  <pic:spPr>
                    <a:xfrm>
                      <a:off x="0" y="0"/>
                      <a:ext cx="5372100" cy="795337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5962650" cy="7924800"/>
            <wp:effectExtent l="0" t="0" r="0" b="0"/>
            <wp:docPr id="61"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descr="IMG_256"/>
                    <pic:cNvPicPr>
                      <a:picLocks noChangeAspect="1"/>
                    </pic:cNvPicPr>
                  </pic:nvPicPr>
                  <pic:blipFill>
                    <a:blip r:embed="rId66"/>
                    <a:stretch>
                      <a:fillRect/>
                    </a:stretch>
                  </pic:blipFill>
                  <pic:spPr>
                    <a:xfrm>
                      <a:off x="0" y="0"/>
                      <a:ext cx="5962650" cy="7924800"/>
                    </a:xfrm>
                    <a:prstGeom prst="rect">
                      <a:avLst/>
                    </a:prstGeom>
                    <a:noFill/>
                    <a:ln w="9525">
                      <a:noFill/>
                    </a:ln>
                  </pic:spPr>
                </pic:pic>
              </a:graphicData>
            </a:graphic>
          </wp:inline>
        </w:drawing>
      </w:r>
    </w:p>
    <w:p>
      <w:pPr>
        <w:keepNext w:val="0"/>
        <w:keepLines w:val="0"/>
        <w:widowControl/>
        <w:suppressLineNumbers w:val="0"/>
        <w:jc w:val="left"/>
      </w:pPr>
    </w:p>
    <w:p>
      <w:pPr>
        <w:keepNext w:val="0"/>
        <w:keepLines w:val="0"/>
        <w:widowControl/>
        <w:suppressLineNumbers w:val="0"/>
        <w:jc w:val="left"/>
      </w:pPr>
    </w:p>
    <w:p>
      <w:pPr>
        <w:pStyle w:val="39"/>
        <w:bidi w:val="0"/>
        <w:ind w:left="0" w:leftChars="0" w:firstLine="0" w:firstLineChars="0"/>
        <w:jc w:val="both"/>
        <w:rPr>
          <w:rFonts w:hint="default" w:ascii="Times New Roman" w:hAnsi="Times New Roman" w:eastAsia="宋体" w:cs="Times New Roman"/>
          <w:b/>
          <w:bCs/>
          <w:lang w:val="en-US" w:eastAsia="zh-CN"/>
        </w:rPr>
      </w:pPr>
    </w:p>
    <w:sectPr>
      <w:pgSz w:w="11907" w:h="16839"/>
      <w:pgMar w:top="1440" w:right="993" w:bottom="1440" w:left="993" w:header="708" w:footer="708" w:gutter="0"/>
      <w:pgNumType w:fmt="decimal"/>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仿宋">
    <w:panose1 w:val="02010600040101010101"/>
    <w:charset w:val="86"/>
    <w:family w:val="auto"/>
    <w:pitch w:val="default"/>
    <w:sig w:usb0="00000287" w:usb1="080F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Bookman Old Style">
    <w:panose1 w:val="02050604050505020204"/>
    <w:charset w:val="00"/>
    <w:family w:val="roman"/>
    <w:pitch w:val="default"/>
    <w:sig w:usb0="00000287" w:usb1="00000000" w:usb2="00000000" w:usb3="00000000" w:csb0="2000009F" w:csb1="DFD70000"/>
  </w:font>
  <w:font w:name="楷体">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roman"/>
    <w:pitch w:val="default"/>
    <w:sig w:usb0="00000000" w:usb1="00000000" w:usb2="0000003F" w:usb3="00000000" w:csb0="603F01FF" w:csb1="FFFF0000"/>
  </w:font>
  <w:font w:name="Verdana">
    <w:panose1 w:val="020B0604030504040204"/>
    <w:charset w:val="00"/>
    <w:family w:val="swiss"/>
    <w:pitch w:val="default"/>
    <w:sig w:usb0="A10006FF" w:usb1="4000205B" w:usb2="00000010" w:usb3="00000000" w:csb0="2000019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both"/>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XXXI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XXXI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rFonts w:hint="eastAsia" w:cs="宋体"/>
        <w:b w:val="0"/>
        <w:bCs/>
        <w:color w:val="000000"/>
        <w:sz w:val="18"/>
        <w:szCs w:val="18"/>
        <w:lang w:val="en-US" w:eastAsia="zh-CN"/>
      </w:rPr>
      <w:t>浙江维连风然传感科技有限公司新建年产智能温度传感器200万件建设项目</w:t>
    </w:r>
    <w:r>
      <w:rPr>
        <w:rFonts w:hint="eastAsia" w:cs="宋体"/>
        <w:b w:val="0"/>
        <w:bCs/>
        <w:color w:val="000000"/>
        <w:sz w:val="18"/>
        <w:szCs w:val="18"/>
        <w:lang w:eastAsia="zh-CN"/>
      </w:rPr>
      <w:t>竣工</w:t>
    </w:r>
    <w:r>
      <w:rPr>
        <w:rFonts w:hint="eastAsia" w:cs="宋体"/>
        <w:b w:val="0"/>
        <w:bCs/>
        <w:color w:val="000000"/>
        <w:sz w:val="18"/>
        <w:szCs w:val="18"/>
      </w:rPr>
      <w:t>环境保护验收监测报告表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83AE1F6"/>
    <w:multiLevelType w:val="singleLevel"/>
    <w:tmpl w:val="E83AE1F6"/>
    <w:lvl w:ilvl="0" w:tentative="0">
      <w:start w:val="1"/>
      <w:numFmt w:val="decimal"/>
      <w:pStyle w:val="13"/>
      <w:lvlText w:val="%1."/>
      <w:lvlJc w:val="left"/>
      <w:pPr>
        <w:tabs>
          <w:tab w:val="left" w:pos="360"/>
        </w:tabs>
        <w:ind w:left="360" w:hanging="360"/>
      </w:pPr>
    </w:lvl>
  </w:abstractNum>
  <w:abstractNum w:abstractNumId="1">
    <w:nsid w:val="F77D0499"/>
    <w:multiLevelType w:val="singleLevel"/>
    <w:tmpl w:val="F77D0499"/>
    <w:lvl w:ilvl="0" w:tentative="0">
      <w:start w:val="4"/>
      <w:numFmt w:val="chineseCounting"/>
      <w:suff w:val="nothing"/>
      <w:lvlText w:val="%1、"/>
      <w:lvlJc w:val="left"/>
      <w:rPr>
        <w:rFonts w:hint="eastAsia"/>
      </w:rPr>
    </w:lvl>
  </w:abstractNum>
  <w:abstractNum w:abstractNumId="2">
    <w:nsid w:val="3246B421"/>
    <w:multiLevelType w:val="singleLevel"/>
    <w:tmpl w:val="3246B421"/>
    <w:lvl w:ilvl="0" w:tentative="0">
      <w:start w:val="1"/>
      <w:numFmt w:val="bullet"/>
      <w:pStyle w:val="19"/>
      <w:lvlText w:val=""/>
      <w:lvlJc w:val="left"/>
      <w:pPr>
        <w:tabs>
          <w:tab w:val="left" w:pos="2040"/>
        </w:tabs>
        <w:ind w:left="2040" w:hanging="360"/>
      </w:pPr>
      <w:rPr>
        <w:rFonts w:hint="default" w:ascii="Wingdings" w:hAnsi="Wingdings"/>
      </w:rPr>
    </w:lvl>
  </w:abstractNum>
  <w:abstractNum w:abstractNumId="3">
    <w:nsid w:val="7C62372F"/>
    <w:multiLevelType w:val="singleLevel"/>
    <w:tmpl w:val="7C62372F"/>
    <w:lvl w:ilvl="0" w:tentative="0">
      <w:start w:val="1"/>
      <w:numFmt w:val="chineseCounting"/>
      <w:suff w:val="nothing"/>
      <w:lvlText w:val="%1、"/>
      <w:lvlJc w:val="left"/>
      <w:rPr>
        <w:rFonts w:hint="eastAsia"/>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M4ZWVkMTFlOTk0YzA3ZjY3YmQxYWMwZjUwYzVlMzQifQ=="/>
  </w:docVars>
  <w:rsids>
    <w:rsidRoot w:val="00172A27"/>
    <w:rsid w:val="00000967"/>
    <w:rsid w:val="00000C3E"/>
    <w:rsid w:val="000010AF"/>
    <w:rsid w:val="0000124E"/>
    <w:rsid w:val="000021DE"/>
    <w:rsid w:val="000028A9"/>
    <w:rsid w:val="00002B06"/>
    <w:rsid w:val="00003447"/>
    <w:rsid w:val="00003870"/>
    <w:rsid w:val="000039A1"/>
    <w:rsid w:val="00004A2C"/>
    <w:rsid w:val="00004C4C"/>
    <w:rsid w:val="00005B4B"/>
    <w:rsid w:val="00006A02"/>
    <w:rsid w:val="00007676"/>
    <w:rsid w:val="000105C6"/>
    <w:rsid w:val="000113F4"/>
    <w:rsid w:val="0001186E"/>
    <w:rsid w:val="00011DD6"/>
    <w:rsid w:val="00011F13"/>
    <w:rsid w:val="00012309"/>
    <w:rsid w:val="00013BC4"/>
    <w:rsid w:val="00014D8B"/>
    <w:rsid w:val="000150F1"/>
    <w:rsid w:val="00015445"/>
    <w:rsid w:val="0001635F"/>
    <w:rsid w:val="00016BE7"/>
    <w:rsid w:val="00016F51"/>
    <w:rsid w:val="0001729A"/>
    <w:rsid w:val="000179D2"/>
    <w:rsid w:val="00020E6B"/>
    <w:rsid w:val="00020FB9"/>
    <w:rsid w:val="00021946"/>
    <w:rsid w:val="00021A10"/>
    <w:rsid w:val="00021ED6"/>
    <w:rsid w:val="00022219"/>
    <w:rsid w:val="000222B0"/>
    <w:rsid w:val="000226F1"/>
    <w:rsid w:val="00022863"/>
    <w:rsid w:val="000237C3"/>
    <w:rsid w:val="00023907"/>
    <w:rsid w:val="00024BD6"/>
    <w:rsid w:val="00024E14"/>
    <w:rsid w:val="00025811"/>
    <w:rsid w:val="00025B3A"/>
    <w:rsid w:val="00025ED6"/>
    <w:rsid w:val="0002656B"/>
    <w:rsid w:val="00026638"/>
    <w:rsid w:val="000276F6"/>
    <w:rsid w:val="00027D82"/>
    <w:rsid w:val="00031217"/>
    <w:rsid w:val="0003139B"/>
    <w:rsid w:val="00031661"/>
    <w:rsid w:val="000318C2"/>
    <w:rsid w:val="00034523"/>
    <w:rsid w:val="000348F1"/>
    <w:rsid w:val="00034C56"/>
    <w:rsid w:val="00034F9F"/>
    <w:rsid w:val="00035966"/>
    <w:rsid w:val="00035A27"/>
    <w:rsid w:val="0003660F"/>
    <w:rsid w:val="00036BCA"/>
    <w:rsid w:val="00036EC6"/>
    <w:rsid w:val="00036EDB"/>
    <w:rsid w:val="000372C1"/>
    <w:rsid w:val="00037C02"/>
    <w:rsid w:val="000404FF"/>
    <w:rsid w:val="00040E69"/>
    <w:rsid w:val="0004193C"/>
    <w:rsid w:val="00041A25"/>
    <w:rsid w:val="00041D61"/>
    <w:rsid w:val="00042283"/>
    <w:rsid w:val="00042FB5"/>
    <w:rsid w:val="00043271"/>
    <w:rsid w:val="0004334E"/>
    <w:rsid w:val="000441FC"/>
    <w:rsid w:val="000460A7"/>
    <w:rsid w:val="00046360"/>
    <w:rsid w:val="00046501"/>
    <w:rsid w:val="00050371"/>
    <w:rsid w:val="00050612"/>
    <w:rsid w:val="00050FE9"/>
    <w:rsid w:val="000510EA"/>
    <w:rsid w:val="0005187C"/>
    <w:rsid w:val="000518F3"/>
    <w:rsid w:val="00051ABF"/>
    <w:rsid w:val="0005212D"/>
    <w:rsid w:val="000522A9"/>
    <w:rsid w:val="000522B1"/>
    <w:rsid w:val="0005246E"/>
    <w:rsid w:val="00052522"/>
    <w:rsid w:val="00052CF5"/>
    <w:rsid w:val="000532E7"/>
    <w:rsid w:val="000537F7"/>
    <w:rsid w:val="00053CD1"/>
    <w:rsid w:val="000549CE"/>
    <w:rsid w:val="00054D3C"/>
    <w:rsid w:val="0005561F"/>
    <w:rsid w:val="00056593"/>
    <w:rsid w:val="00056B7D"/>
    <w:rsid w:val="00056F47"/>
    <w:rsid w:val="0005776C"/>
    <w:rsid w:val="000578D4"/>
    <w:rsid w:val="00057B3F"/>
    <w:rsid w:val="000603D7"/>
    <w:rsid w:val="0006079C"/>
    <w:rsid w:val="00060A36"/>
    <w:rsid w:val="00060F05"/>
    <w:rsid w:val="0006195C"/>
    <w:rsid w:val="00061C93"/>
    <w:rsid w:val="0006202B"/>
    <w:rsid w:val="000637B6"/>
    <w:rsid w:val="00063B9D"/>
    <w:rsid w:val="00065DBD"/>
    <w:rsid w:val="00066284"/>
    <w:rsid w:val="00066720"/>
    <w:rsid w:val="000678E4"/>
    <w:rsid w:val="00070171"/>
    <w:rsid w:val="00070E2B"/>
    <w:rsid w:val="000711B2"/>
    <w:rsid w:val="0007223D"/>
    <w:rsid w:val="000734D8"/>
    <w:rsid w:val="00073A48"/>
    <w:rsid w:val="00073BBA"/>
    <w:rsid w:val="000743EE"/>
    <w:rsid w:val="000751A0"/>
    <w:rsid w:val="00075558"/>
    <w:rsid w:val="000767CD"/>
    <w:rsid w:val="0007711E"/>
    <w:rsid w:val="000772DF"/>
    <w:rsid w:val="00077748"/>
    <w:rsid w:val="000801E1"/>
    <w:rsid w:val="0008039A"/>
    <w:rsid w:val="00081EF5"/>
    <w:rsid w:val="000829B8"/>
    <w:rsid w:val="00082AB4"/>
    <w:rsid w:val="00085D5C"/>
    <w:rsid w:val="00085E7C"/>
    <w:rsid w:val="00085FE6"/>
    <w:rsid w:val="000866B1"/>
    <w:rsid w:val="00086C9D"/>
    <w:rsid w:val="00086F92"/>
    <w:rsid w:val="000870F0"/>
    <w:rsid w:val="000872D0"/>
    <w:rsid w:val="00090C43"/>
    <w:rsid w:val="00091245"/>
    <w:rsid w:val="00092724"/>
    <w:rsid w:val="00092CDA"/>
    <w:rsid w:val="000939F6"/>
    <w:rsid w:val="00093E20"/>
    <w:rsid w:val="0009535A"/>
    <w:rsid w:val="0009645D"/>
    <w:rsid w:val="00096533"/>
    <w:rsid w:val="000974D6"/>
    <w:rsid w:val="00097A32"/>
    <w:rsid w:val="000A1BBF"/>
    <w:rsid w:val="000A1EA2"/>
    <w:rsid w:val="000A3459"/>
    <w:rsid w:val="000A384C"/>
    <w:rsid w:val="000A3AC4"/>
    <w:rsid w:val="000A4099"/>
    <w:rsid w:val="000A4B83"/>
    <w:rsid w:val="000A53C9"/>
    <w:rsid w:val="000A5E24"/>
    <w:rsid w:val="000A6322"/>
    <w:rsid w:val="000A6577"/>
    <w:rsid w:val="000A677C"/>
    <w:rsid w:val="000A69A7"/>
    <w:rsid w:val="000A6A58"/>
    <w:rsid w:val="000A6B21"/>
    <w:rsid w:val="000A6C74"/>
    <w:rsid w:val="000A7335"/>
    <w:rsid w:val="000A7A0D"/>
    <w:rsid w:val="000B16CF"/>
    <w:rsid w:val="000B17C9"/>
    <w:rsid w:val="000B1B5B"/>
    <w:rsid w:val="000B2390"/>
    <w:rsid w:val="000B30B7"/>
    <w:rsid w:val="000B31F7"/>
    <w:rsid w:val="000B41AF"/>
    <w:rsid w:val="000B4ABB"/>
    <w:rsid w:val="000B4D18"/>
    <w:rsid w:val="000B4EC1"/>
    <w:rsid w:val="000B4FDE"/>
    <w:rsid w:val="000B6F11"/>
    <w:rsid w:val="000C039F"/>
    <w:rsid w:val="000C03F1"/>
    <w:rsid w:val="000C08DB"/>
    <w:rsid w:val="000C126E"/>
    <w:rsid w:val="000C18EF"/>
    <w:rsid w:val="000C1DAB"/>
    <w:rsid w:val="000C235A"/>
    <w:rsid w:val="000C24A2"/>
    <w:rsid w:val="000C52B4"/>
    <w:rsid w:val="000C56FC"/>
    <w:rsid w:val="000C74A1"/>
    <w:rsid w:val="000C7C26"/>
    <w:rsid w:val="000C7EAE"/>
    <w:rsid w:val="000D093E"/>
    <w:rsid w:val="000D0B39"/>
    <w:rsid w:val="000D0C5A"/>
    <w:rsid w:val="000D17CA"/>
    <w:rsid w:val="000D31A6"/>
    <w:rsid w:val="000D33E0"/>
    <w:rsid w:val="000D37B2"/>
    <w:rsid w:val="000D574C"/>
    <w:rsid w:val="000D60A1"/>
    <w:rsid w:val="000D6172"/>
    <w:rsid w:val="000D6893"/>
    <w:rsid w:val="000D6CAF"/>
    <w:rsid w:val="000D7724"/>
    <w:rsid w:val="000E0326"/>
    <w:rsid w:val="000E0A52"/>
    <w:rsid w:val="000E1171"/>
    <w:rsid w:val="000E11A9"/>
    <w:rsid w:val="000E2399"/>
    <w:rsid w:val="000E294B"/>
    <w:rsid w:val="000E2CBF"/>
    <w:rsid w:val="000E2CD8"/>
    <w:rsid w:val="000E2CEF"/>
    <w:rsid w:val="000E3753"/>
    <w:rsid w:val="000E3DB7"/>
    <w:rsid w:val="000E5764"/>
    <w:rsid w:val="000E6A84"/>
    <w:rsid w:val="000E6AAC"/>
    <w:rsid w:val="000E7524"/>
    <w:rsid w:val="000F1C2F"/>
    <w:rsid w:val="000F2089"/>
    <w:rsid w:val="000F2C11"/>
    <w:rsid w:val="000F2E18"/>
    <w:rsid w:val="000F3630"/>
    <w:rsid w:val="000F41C6"/>
    <w:rsid w:val="000F58BF"/>
    <w:rsid w:val="000F5A9E"/>
    <w:rsid w:val="000F5C89"/>
    <w:rsid w:val="000F7322"/>
    <w:rsid w:val="000F76C4"/>
    <w:rsid w:val="000F7800"/>
    <w:rsid w:val="00100185"/>
    <w:rsid w:val="001006F5"/>
    <w:rsid w:val="00100F6D"/>
    <w:rsid w:val="00101EEE"/>
    <w:rsid w:val="00102640"/>
    <w:rsid w:val="00102BBD"/>
    <w:rsid w:val="001032C1"/>
    <w:rsid w:val="001039EE"/>
    <w:rsid w:val="00104091"/>
    <w:rsid w:val="00105065"/>
    <w:rsid w:val="001050D8"/>
    <w:rsid w:val="00105C91"/>
    <w:rsid w:val="001060BB"/>
    <w:rsid w:val="00107991"/>
    <w:rsid w:val="00107DA4"/>
    <w:rsid w:val="00107F3B"/>
    <w:rsid w:val="00110E1E"/>
    <w:rsid w:val="0011144E"/>
    <w:rsid w:val="001115F2"/>
    <w:rsid w:val="00112A52"/>
    <w:rsid w:val="00112CD7"/>
    <w:rsid w:val="00112EE6"/>
    <w:rsid w:val="00113134"/>
    <w:rsid w:val="0011360E"/>
    <w:rsid w:val="00113BCF"/>
    <w:rsid w:val="001142BE"/>
    <w:rsid w:val="00114755"/>
    <w:rsid w:val="001151A0"/>
    <w:rsid w:val="00115794"/>
    <w:rsid w:val="00115870"/>
    <w:rsid w:val="00115881"/>
    <w:rsid w:val="00115D59"/>
    <w:rsid w:val="00116840"/>
    <w:rsid w:val="001169F1"/>
    <w:rsid w:val="00116E0C"/>
    <w:rsid w:val="0011708A"/>
    <w:rsid w:val="001177D2"/>
    <w:rsid w:val="00117E0B"/>
    <w:rsid w:val="0012039A"/>
    <w:rsid w:val="0012109A"/>
    <w:rsid w:val="0012179D"/>
    <w:rsid w:val="00121809"/>
    <w:rsid w:val="00121BE0"/>
    <w:rsid w:val="00123C51"/>
    <w:rsid w:val="0012495A"/>
    <w:rsid w:val="0012582E"/>
    <w:rsid w:val="00126F95"/>
    <w:rsid w:val="00130617"/>
    <w:rsid w:val="00130EBD"/>
    <w:rsid w:val="00130F7A"/>
    <w:rsid w:val="0013165A"/>
    <w:rsid w:val="00131A1A"/>
    <w:rsid w:val="00132AD9"/>
    <w:rsid w:val="00132E98"/>
    <w:rsid w:val="00133546"/>
    <w:rsid w:val="00133BA4"/>
    <w:rsid w:val="00133D5C"/>
    <w:rsid w:val="001343B7"/>
    <w:rsid w:val="001348F1"/>
    <w:rsid w:val="0013504F"/>
    <w:rsid w:val="001365C0"/>
    <w:rsid w:val="00136A02"/>
    <w:rsid w:val="00136C8E"/>
    <w:rsid w:val="001371CF"/>
    <w:rsid w:val="0013746E"/>
    <w:rsid w:val="001379EE"/>
    <w:rsid w:val="00137BFA"/>
    <w:rsid w:val="001406B2"/>
    <w:rsid w:val="0014079B"/>
    <w:rsid w:val="00140970"/>
    <w:rsid w:val="00141182"/>
    <w:rsid w:val="00142E9B"/>
    <w:rsid w:val="001436A6"/>
    <w:rsid w:val="0014376D"/>
    <w:rsid w:val="00143CAE"/>
    <w:rsid w:val="00143D3F"/>
    <w:rsid w:val="00144086"/>
    <w:rsid w:val="0014482E"/>
    <w:rsid w:val="00145FCF"/>
    <w:rsid w:val="00146325"/>
    <w:rsid w:val="00146E63"/>
    <w:rsid w:val="001473D2"/>
    <w:rsid w:val="00147510"/>
    <w:rsid w:val="00147DAE"/>
    <w:rsid w:val="00150DC3"/>
    <w:rsid w:val="001518F9"/>
    <w:rsid w:val="001519AA"/>
    <w:rsid w:val="00151A14"/>
    <w:rsid w:val="00151CA6"/>
    <w:rsid w:val="00152559"/>
    <w:rsid w:val="00153A71"/>
    <w:rsid w:val="00153DB4"/>
    <w:rsid w:val="00153FC3"/>
    <w:rsid w:val="001544EE"/>
    <w:rsid w:val="00154ADB"/>
    <w:rsid w:val="00155770"/>
    <w:rsid w:val="00156A53"/>
    <w:rsid w:val="00160774"/>
    <w:rsid w:val="00161249"/>
    <w:rsid w:val="00161925"/>
    <w:rsid w:val="001632C4"/>
    <w:rsid w:val="00163729"/>
    <w:rsid w:val="00164EA1"/>
    <w:rsid w:val="001650C6"/>
    <w:rsid w:val="00165347"/>
    <w:rsid w:val="00165553"/>
    <w:rsid w:val="00166643"/>
    <w:rsid w:val="001667E0"/>
    <w:rsid w:val="0016695E"/>
    <w:rsid w:val="001708DA"/>
    <w:rsid w:val="00171E02"/>
    <w:rsid w:val="00171E2D"/>
    <w:rsid w:val="00172A27"/>
    <w:rsid w:val="00172FD0"/>
    <w:rsid w:val="00174347"/>
    <w:rsid w:val="0017480B"/>
    <w:rsid w:val="0017493B"/>
    <w:rsid w:val="00174F28"/>
    <w:rsid w:val="00175303"/>
    <w:rsid w:val="00175620"/>
    <w:rsid w:val="0017755B"/>
    <w:rsid w:val="00177617"/>
    <w:rsid w:val="0017791F"/>
    <w:rsid w:val="00177924"/>
    <w:rsid w:val="00177AF7"/>
    <w:rsid w:val="001800DA"/>
    <w:rsid w:val="001812A8"/>
    <w:rsid w:val="00181C10"/>
    <w:rsid w:val="00182148"/>
    <w:rsid w:val="0018234C"/>
    <w:rsid w:val="0018276E"/>
    <w:rsid w:val="001827A4"/>
    <w:rsid w:val="00182B58"/>
    <w:rsid w:val="001841CF"/>
    <w:rsid w:val="001852C6"/>
    <w:rsid w:val="001855FA"/>
    <w:rsid w:val="0018583A"/>
    <w:rsid w:val="00186555"/>
    <w:rsid w:val="00186C9A"/>
    <w:rsid w:val="00187263"/>
    <w:rsid w:val="00187286"/>
    <w:rsid w:val="00187DB7"/>
    <w:rsid w:val="001904E8"/>
    <w:rsid w:val="00190821"/>
    <w:rsid w:val="00190E87"/>
    <w:rsid w:val="00191949"/>
    <w:rsid w:val="00192C06"/>
    <w:rsid w:val="00192E43"/>
    <w:rsid w:val="00193AF4"/>
    <w:rsid w:val="00193B28"/>
    <w:rsid w:val="00193E80"/>
    <w:rsid w:val="001949DC"/>
    <w:rsid w:val="00194F7F"/>
    <w:rsid w:val="00195505"/>
    <w:rsid w:val="00195516"/>
    <w:rsid w:val="001960FB"/>
    <w:rsid w:val="0019624B"/>
    <w:rsid w:val="00197B37"/>
    <w:rsid w:val="001A066D"/>
    <w:rsid w:val="001A1756"/>
    <w:rsid w:val="001A2628"/>
    <w:rsid w:val="001A2655"/>
    <w:rsid w:val="001A301B"/>
    <w:rsid w:val="001A35FD"/>
    <w:rsid w:val="001A3766"/>
    <w:rsid w:val="001A3E04"/>
    <w:rsid w:val="001A3EC0"/>
    <w:rsid w:val="001A42E1"/>
    <w:rsid w:val="001A4A47"/>
    <w:rsid w:val="001A729F"/>
    <w:rsid w:val="001A73BF"/>
    <w:rsid w:val="001A75E8"/>
    <w:rsid w:val="001A77E9"/>
    <w:rsid w:val="001A7B79"/>
    <w:rsid w:val="001B07BA"/>
    <w:rsid w:val="001B0F0A"/>
    <w:rsid w:val="001B1966"/>
    <w:rsid w:val="001B20A6"/>
    <w:rsid w:val="001B2D45"/>
    <w:rsid w:val="001B3452"/>
    <w:rsid w:val="001B431F"/>
    <w:rsid w:val="001B53CB"/>
    <w:rsid w:val="001B573F"/>
    <w:rsid w:val="001B6152"/>
    <w:rsid w:val="001B7282"/>
    <w:rsid w:val="001B78B4"/>
    <w:rsid w:val="001B7CB3"/>
    <w:rsid w:val="001B7EEE"/>
    <w:rsid w:val="001C01AB"/>
    <w:rsid w:val="001C176F"/>
    <w:rsid w:val="001C17EA"/>
    <w:rsid w:val="001C17F5"/>
    <w:rsid w:val="001C286C"/>
    <w:rsid w:val="001C3CA6"/>
    <w:rsid w:val="001C4BFB"/>
    <w:rsid w:val="001C6523"/>
    <w:rsid w:val="001C6556"/>
    <w:rsid w:val="001C6C8B"/>
    <w:rsid w:val="001C6C97"/>
    <w:rsid w:val="001C6E61"/>
    <w:rsid w:val="001C75AC"/>
    <w:rsid w:val="001C761A"/>
    <w:rsid w:val="001D08FF"/>
    <w:rsid w:val="001D0B52"/>
    <w:rsid w:val="001D23E3"/>
    <w:rsid w:val="001D2A7D"/>
    <w:rsid w:val="001D36A0"/>
    <w:rsid w:val="001D521F"/>
    <w:rsid w:val="001D5480"/>
    <w:rsid w:val="001D5B6B"/>
    <w:rsid w:val="001D62F5"/>
    <w:rsid w:val="001D6C4A"/>
    <w:rsid w:val="001D6C93"/>
    <w:rsid w:val="001D7673"/>
    <w:rsid w:val="001D76C5"/>
    <w:rsid w:val="001D774C"/>
    <w:rsid w:val="001E01EC"/>
    <w:rsid w:val="001E2C3A"/>
    <w:rsid w:val="001E355B"/>
    <w:rsid w:val="001E4BFF"/>
    <w:rsid w:val="001E51C6"/>
    <w:rsid w:val="001E7136"/>
    <w:rsid w:val="001F0CEB"/>
    <w:rsid w:val="001F17B4"/>
    <w:rsid w:val="001F1AC9"/>
    <w:rsid w:val="001F1DDD"/>
    <w:rsid w:val="001F559B"/>
    <w:rsid w:val="001F5D31"/>
    <w:rsid w:val="001F5E30"/>
    <w:rsid w:val="001F63C1"/>
    <w:rsid w:val="001F7CD6"/>
    <w:rsid w:val="001F7E4C"/>
    <w:rsid w:val="002000FB"/>
    <w:rsid w:val="00200146"/>
    <w:rsid w:val="00200B63"/>
    <w:rsid w:val="002010B4"/>
    <w:rsid w:val="00201754"/>
    <w:rsid w:val="002026A1"/>
    <w:rsid w:val="00202A07"/>
    <w:rsid w:val="00202D81"/>
    <w:rsid w:val="0020418F"/>
    <w:rsid w:val="002043A9"/>
    <w:rsid w:val="002046A6"/>
    <w:rsid w:val="002046D3"/>
    <w:rsid w:val="002055CF"/>
    <w:rsid w:val="002077BC"/>
    <w:rsid w:val="00210827"/>
    <w:rsid w:val="00210D03"/>
    <w:rsid w:val="00210FE6"/>
    <w:rsid w:val="00211258"/>
    <w:rsid w:val="00211280"/>
    <w:rsid w:val="002112D6"/>
    <w:rsid w:val="0021196E"/>
    <w:rsid w:val="002126F4"/>
    <w:rsid w:val="00212FA9"/>
    <w:rsid w:val="00214BD5"/>
    <w:rsid w:val="00214BE9"/>
    <w:rsid w:val="00214EC8"/>
    <w:rsid w:val="002157D9"/>
    <w:rsid w:val="0021603E"/>
    <w:rsid w:val="002169BD"/>
    <w:rsid w:val="00216CD0"/>
    <w:rsid w:val="00216FC5"/>
    <w:rsid w:val="0022107A"/>
    <w:rsid w:val="002212F8"/>
    <w:rsid w:val="00221B99"/>
    <w:rsid w:val="00221D5D"/>
    <w:rsid w:val="002225B0"/>
    <w:rsid w:val="002232B8"/>
    <w:rsid w:val="002238A0"/>
    <w:rsid w:val="00224968"/>
    <w:rsid w:val="002253DC"/>
    <w:rsid w:val="0022623F"/>
    <w:rsid w:val="002269F3"/>
    <w:rsid w:val="00226B09"/>
    <w:rsid w:val="00226DD1"/>
    <w:rsid w:val="002272D4"/>
    <w:rsid w:val="002277CF"/>
    <w:rsid w:val="00227A30"/>
    <w:rsid w:val="00227B4B"/>
    <w:rsid w:val="00227EA5"/>
    <w:rsid w:val="00230121"/>
    <w:rsid w:val="00230E52"/>
    <w:rsid w:val="00231C31"/>
    <w:rsid w:val="00231DD8"/>
    <w:rsid w:val="002323C6"/>
    <w:rsid w:val="0023248A"/>
    <w:rsid w:val="0023271E"/>
    <w:rsid w:val="00232788"/>
    <w:rsid w:val="00232AB4"/>
    <w:rsid w:val="00232AEA"/>
    <w:rsid w:val="002336E0"/>
    <w:rsid w:val="0023389B"/>
    <w:rsid w:val="00233F83"/>
    <w:rsid w:val="002342C9"/>
    <w:rsid w:val="00234F34"/>
    <w:rsid w:val="00235525"/>
    <w:rsid w:val="00236404"/>
    <w:rsid w:val="00237729"/>
    <w:rsid w:val="00237B6A"/>
    <w:rsid w:val="002407D3"/>
    <w:rsid w:val="00240A2B"/>
    <w:rsid w:val="0024191A"/>
    <w:rsid w:val="0024268C"/>
    <w:rsid w:val="00243161"/>
    <w:rsid w:val="0024548E"/>
    <w:rsid w:val="002456AF"/>
    <w:rsid w:val="00246809"/>
    <w:rsid w:val="0024727F"/>
    <w:rsid w:val="00247366"/>
    <w:rsid w:val="002508CC"/>
    <w:rsid w:val="002512D0"/>
    <w:rsid w:val="0025130B"/>
    <w:rsid w:val="00251981"/>
    <w:rsid w:val="0025287F"/>
    <w:rsid w:val="00253D83"/>
    <w:rsid w:val="00253F8A"/>
    <w:rsid w:val="00254B6C"/>
    <w:rsid w:val="0025524F"/>
    <w:rsid w:val="0025632C"/>
    <w:rsid w:val="002567D3"/>
    <w:rsid w:val="00256F06"/>
    <w:rsid w:val="00257887"/>
    <w:rsid w:val="00260729"/>
    <w:rsid w:val="00260754"/>
    <w:rsid w:val="002627CF"/>
    <w:rsid w:val="00263350"/>
    <w:rsid w:val="00263715"/>
    <w:rsid w:val="00264946"/>
    <w:rsid w:val="00264D95"/>
    <w:rsid w:val="00265784"/>
    <w:rsid w:val="00265B57"/>
    <w:rsid w:val="00266B5C"/>
    <w:rsid w:val="00266D21"/>
    <w:rsid w:val="002673B7"/>
    <w:rsid w:val="00271D1C"/>
    <w:rsid w:val="00271EAC"/>
    <w:rsid w:val="0027310C"/>
    <w:rsid w:val="0027356C"/>
    <w:rsid w:val="00273D25"/>
    <w:rsid w:val="00273D48"/>
    <w:rsid w:val="00275154"/>
    <w:rsid w:val="00275928"/>
    <w:rsid w:val="00275EA7"/>
    <w:rsid w:val="00276C37"/>
    <w:rsid w:val="0027796F"/>
    <w:rsid w:val="00277FB7"/>
    <w:rsid w:val="0028011F"/>
    <w:rsid w:val="00280773"/>
    <w:rsid w:val="0028111A"/>
    <w:rsid w:val="00281575"/>
    <w:rsid w:val="002815EA"/>
    <w:rsid w:val="00281834"/>
    <w:rsid w:val="00282384"/>
    <w:rsid w:val="00283DBB"/>
    <w:rsid w:val="0028420B"/>
    <w:rsid w:val="00284D29"/>
    <w:rsid w:val="00284EC5"/>
    <w:rsid w:val="00285177"/>
    <w:rsid w:val="00285333"/>
    <w:rsid w:val="002856D3"/>
    <w:rsid w:val="00285C77"/>
    <w:rsid w:val="00287234"/>
    <w:rsid w:val="002873CB"/>
    <w:rsid w:val="002876A0"/>
    <w:rsid w:val="00287A40"/>
    <w:rsid w:val="00287CA9"/>
    <w:rsid w:val="0029240C"/>
    <w:rsid w:val="00292A41"/>
    <w:rsid w:val="0029308F"/>
    <w:rsid w:val="00293BE9"/>
    <w:rsid w:val="00293C63"/>
    <w:rsid w:val="00294F98"/>
    <w:rsid w:val="0029555C"/>
    <w:rsid w:val="00296478"/>
    <w:rsid w:val="00297B43"/>
    <w:rsid w:val="002A039C"/>
    <w:rsid w:val="002A072C"/>
    <w:rsid w:val="002A0C8B"/>
    <w:rsid w:val="002A1DB4"/>
    <w:rsid w:val="002A2D87"/>
    <w:rsid w:val="002A2E17"/>
    <w:rsid w:val="002A2E7B"/>
    <w:rsid w:val="002A2F46"/>
    <w:rsid w:val="002A3C8E"/>
    <w:rsid w:val="002A4A01"/>
    <w:rsid w:val="002A5330"/>
    <w:rsid w:val="002A5A1E"/>
    <w:rsid w:val="002A6003"/>
    <w:rsid w:val="002A665C"/>
    <w:rsid w:val="002A6E4A"/>
    <w:rsid w:val="002A7897"/>
    <w:rsid w:val="002B019F"/>
    <w:rsid w:val="002B0E11"/>
    <w:rsid w:val="002B1551"/>
    <w:rsid w:val="002B1718"/>
    <w:rsid w:val="002B191A"/>
    <w:rsid w:val="002B1E81"/>
    <w:rsid w:val="002B3849"/>
    <w:rsid w:val="002B38CA"/>
    <w:rsid w:val="002B45B2"/>
    <w:rsid w:val="002B4CAF"/>
    <w:rsid w:val="002B4DF9"/>
    <w:rsid w:val="002B50AB"/>
    <w:rsid w:val="002B6004"/>
    <w:rsid w:val="002B61DA"/>
    <w:rsid w:val="002B6470"/>
    <w:rsid w:val="002B6C2A"/>
    <w:rsid w:val="002B6E43"/>
    <w:rsid w:val="002B7044"/>
    <w:rsid w:val="002B749E"/>
    <w:rsid w:val="002B764D"/>
    <w:rsid w:val="002B77C7"/>
    <w:rsid w:val="002B79DB"/>
    <w:rsid w:val="002B7BDD"/>
    <w:rsid w:val="002C1471"/>
    <w:rsid w:val="002C15B2"/>
    <w:rsid w:val="002C1A7E"/>
    <w:rsid w:val="002C1C0A"/>
    <w:rsid w:val="002C25B4"/>
    <w:rsid w:val="002C32E1"/>
    <w:rsid w:val="002C3BA2"/>
    <w:rsid w:val="002C3C9B"/>
    <w:rsid w:val="002C4484"/>
    <w:rsid w:val="002C57FB"/>
    <w:rsid w:val="002C6440"/>
    <w:rsid w:val="002C6585"/>
    <w:rsid w:val="002C70E9"/>
    <w:rsid w:val="002C7ADE"/>
    <w:rsid w:val="002D0F86"/>
    <w:rsid w:val="002D11AE"/>
    <w:rsid w:val="002D3982"/>
    <w:rsid w:val="002D566D"/>
    <w:rsid w:val="002D5743"/>
    <w:rsid w:val="002D5C42"/>
    <w:rsid w:val="002D664D"/>
    <w:rsid w:val="002D6A21"/>
    <w:rsid w:val="002D6DAF"/>
    <w:rsid w:val="002D7DE5"/>
    <w:rsid w:val="002D7E62"/>
    <w:rsid w:val="002D7F04"/>
    <w:rsid w:val="002E0127"/>
    <w:rsid w:val="002E0634"/>
    <w:rsid w:val="002E1FE9"/>
    <w:rsid w:val="002E2B37"/>
    <w:rsid w:val="002E2BA7"/>
    <w:rsid w:val="002E49B6"/>
    <w:rsid w:val="002E4D1C"/>
    <w:rsid w:val="002E53EB"/>
    <w:rsid w:val="002E54F5"/>
    <w:rsid w:val="002E5AB9"/>
    <w:rsid w:val="002E5B13"/>
    <w:rsid w:val="002E5CAE"/>
    <w:rsid w:val="002E62A2"/>
    <w:rsid w:val="002E67D2"/>
    <w:rsid w:val="002E70B4"/>
    <w:rsid w:val="002F0BBD"/>
    <w:rsid w:val="002F10B8"/>
    <w:rsid w:val="002F2EE3"/>
    <w:rsid w:val="002F2F84"/>
    <w:rsid w:val="002F30F2"/>
    <w:rsid w:val="002F3C9B"/>
    <w:rsid w:val="002F4B13"/>
    <w:rsid w:val="002F5C02"/>
    <w:rsid w:val="002F5C57"/>
    <w:rsid w:val="002F6294"/>
    <w:rsid w:val="002F6E60"/>
    <w:rsid w:val="002F77A3"/>
    <w:rsid w:val="0030145F"/>
    <w:rsid w:val="0030176A"/>
    <w:rsid w:val="0030228E"/>
    <w:rsid w:val="0030295E"/>
    <w:rsid w:val="00302977"/>
    <w:rsid w:val="00302B6D"/>
    <w:rsid w:val="00303299"/>
    <w:rsid w:val="003032E6"/>
    <w:rsid w:val="00303AD8"/>
    <w:rsid w:val="00303BA5"/>
    <w:rsid w:val="003044B1"/>
    <w:rsid w:val="0030472B"/>
    <w:rsid w:val="00304F57"/>
    <w:rsid w:val="00305875"/>
    <w:rsid w:val="003058AD"/>
    <w:rsid w:val="00305D5A"/>
    <w:rsid w:val="00306234"/>
    <w:rsid w:val="003062A4"/>
    <w:rsid w:val="00306962"/>
    <w:rsid w:val="00306E66"/>
    <w:rsid w:val="00307069"/>
    <w:rsid w:val="003070C7"/>
    <w:rsid w:val="003075CC"/>
    <w:rsid w:val="003107A4"/>
    <w:rsid w:val="00310964"/>
    <w:rsid w:val="00310D43"/>
    <w:rsid w:val="00310D8E"/>
    <w:rsid w:val="003127FB"/>
    <w:rsid w:val="00312885"/>
    <w:rsid w:val="00312A1B"/>
    <w:rsid w:val="00313C52"/>
    <w:rsid w:val="003145F4"/>
    <w:rsid w:val="00314CAC"/>
    <w:rsid w:val="00314F6B"/>
    <w:rsid w:val="00315746"/>
    <w:rsid w:val="003165B5"/>
    <w:rsid w:val="00316BF5"/>
    <w:rsid w:val="00317331"/>
    <w:rsid w:val="0031794F"/>
    <w:rsid w:val="003205CD"/>
    <w:rsid w:val="00321171"/>
    <w:rsid w:val="003211E6"/>
    <w:rsid w:val="0032185A"/>
    <w:rsid w:val="00321D5F"/>
    <w:rsid w:val="00322229"/>
    <w:rsid w:val="00322E79"/>
    <w:rsid w:val="0032399F"/>
    <w:rsid w:val="00323A57"/>
    <w:rsid w:val="00324479"/>
    <w:rsid w:val="00324589"/>
    <w:rsid w:val="003247FF"/>
    <w:rsid w:val="00324AC8"/>
    <w:rsid w:val="00325563"/>
    <w:rsid w:val="003269E8"/>
    <w:rsid w:val="00326A50"/>
    <w:rsid w:val="003270C4"/>
    <w:rsid w:val="003270E5"/>
    <w:rsid w:val="00327572"/>
    <w:rsid w:val="00327D97"/>
    <w:rsid w:val="003308CE"/>
    <w:rsid w:val="00333644"/>
    <w:rsid w:val="00333B9C"/>
    <w:rsid w:val="0033415F"/>
    <w:rsid w:val="0033481C"/>
    <w:rsid w:val="003349F6"/>
    <w:rsid w:val="00334C46"/>
    <w:rsid w:val="00334F14"/>
    <w:rsid w:val="003357B6"/>
    <w:rsid w:val="00336D8B"/>
    <w:rsid w:val="00337128"/>
    <w:rsid w:val="003402F2"/>
    <w:rsid w:val="00340F16"/>
    <w:rsid w:val="0034188A"/>
    <w:rsid w:val="00342BC9"/>
    <w:rsid w:val="00342CE8"/>
    <w:rsid w:val="003457E4"/>
    <w:rsid w:val="00345D6D"/>
    <w:rsid w:val="00346146"/>
    <w:rsid w:val="00346826"/>
    <w:rsid w:val="00346B2B"/>
    <w:rsid w:val="00346B53"/>
    <w:rsid w:val="00346EF9"/>
    <w:rsid w:val="0034725D"/>
    <w:rsid w:val="003503C9"/>
    <w:rsid w:val="00351215"/>
    <w:rsid w:val="00351217"/>
    <w:rsid w:val="00352257"/>
    <w:rsid w:val="00352A54"/>
    <w:rsid w:val="0035365C"/>
    <w:rsid w:val="00353C11"/>
    <w:rsid w:val="00353E2E"/>
    <w:rsid w:val="00353E4D"/>
    <w:rsid w:val="0035436E"/>
    <w:rsid w:val="00354401"/>
    <w:rsid w:val="00355250"/>
    <w:rsid w:val="00355A45"/>
    <w:rsid w:val="003561B4"/>
    <w:rsid w:val="003562E5"/>
    <w:rsid w:val="00360026"/>
    <w:rsid w:val="00362593"/>
    <w:rsid w:val="003628A0"/>
    <w:rsid w:val="00363162"/>
    <w:rsid w:val="0036424F"/>
    <w:rsid w:val="0036447A"/>
    <w:rsid w:val="00364D21"/>
    <w:rsid w:val="003652B0"/>
    <w:rsid w:val="003669D8"/>
    <w:rsid w:val="0036747D"/>
    <w:rsid w:val="00371A22"/>
    <w:rsid w:val="003737B1"/>
    <w:rsid w:val="00373926"/>
    <w:rsid w:val="00374441"/>
    <w:rsid w:val="00375232"/>
    <w:rsid w:val="003759D9"/>
    <w:rsid w:val="00375C26"/>
    <w:rsid w:val="00376CFB"/>
    <w:rsid w:val="00376EFD"/>
    <w:rsid w:val="00376F3D"/>
    <w:rsid w:val="0037794B"/>
    <w:rsid w:val="00377D0F"/>
    <w:rsid w:val="00380B80"/>
    <w:rsid w:val="00380F36"/>
    <w:rsid w:val="003817F7"/>
    <w:rsid w:val="00381D85"/>
    <w:rsid w:val="00381F1C"/>
    <w:rsid w:val="00382063"/>
    <w:rsid w:val="00382130"/>
    <w:rsid w:val="0038249A"/>
    <w:rsid w:val="0038286D"/>
    <w:rsid w:val="0038349C"/>
    <w:rsid w:val="003839B8"/>
    <w:rsid w:val="00383BA8"/>
    <w:rsid w:val="00383D58"/>
    <w:rsid w:val="003850CA"/>
    <w:rsid w:val="0038564D"/>
    <w:rsid w:val="00385ACC"/>
    <w:rsid w:val="00385BFD"/>
    <w:rsid w:val="003860AF"/>
    <w:rsid w:val="00386AB4"/>
    <w:rsid w:val="00387668"/>
    <w:rsid w:val="00387C73"/>
    <w:rsid w:val="00387E72"/>
    <w:rsid w:val="003902B3"/>
    <w:rsid w:val="003905BB"/>
    <w:rsid w:val="00390C5A"/>
    <w:rsid w:val="003921E5"/>
    <w:rsid w:val="0039267F"/>
    <w:rsid w:val="00393EE3"/>
    <w:rsid w:val="003942FB"/>
    <w:rsid w:val="00394EDF"/>
    <w:rsid w:val="00395914"/>
    <w:rsid w:val="00395AE9"/>
    <w:rsid w:val="00395E50"/>
    <w:rsid w:val="00396D63"/>
    <w:rsid w:val="003971F3"/>
    <w:rsid w:val="003972BB"/>
    <w:rsid w:val="00397F36"/>
    <w:rsid w:val="003A16BA"/>
    <w:rsid w:val="003A1909"/>
    <w:rsid w:val="003A22D5"/>
    <w:rsid w:val="003A305D"/>
    <w:rsid w:val="003A4B2A"/>
    <w:rsid w:val="003A4CC4"/>
    <w:rsid w:val="003A5047"/>
    <w:rsid w:val="003A5D3C"/>
    <w:rsid w:val="003A6354"/>
    <w:rsid w:val="003A7578"/>
    <w:rsid w:val="003A78D4"/>
    <w:rsid w:val="003A795E"/>
    <w:rsid w:val="003A7D23"/>
    <w:rsid w:val="003B062C"/>
    <w:rsid w:val="003B0909"/>
    <w:rsid w:val="003B0BC3"/>
    <w:rsid w:val="003B14EA"/>
    <w:rsid w:val="003B198C"/>
    <w:rsid w:val="003B28AE"/>
    <w:rsid w:val="003B2C37"/>
    <w:rsid w:val="003B2F54"/>
    <w:rsid w:val="003B3476"/>
    <w:rsid w:val="003B3B06"/>
    <w:rsid w:val="003B4C30"/>
    <w:rsid w:val="003B63D5"/>
    <w:rsid w:val="003B6A20"/>
    <w:rsid w:val="003B6DF6"/>
    <w:rsid w:val="003B7ECB"/>
    <w:rsid w:val="003C0C9E"/>
    <w:rsid w:val="003C10C7"/>
    <w:rsid w:val="003C15A6"/>
    <w:rsid w:val="003C186E"/>
    <w:rsid w:val="003C1889"/>
    <w:rsid w:val="003C1ACF"/>
    <w:rsid w:val="003C253D"/>
    <w:rsid w:val="003C2AF0"/>
    <w:rsid w:val="003C321E"/>
    <w:rsid w:val="003C46BB"/>
    <w:rsid w:val="003C4A4C"/>
    <w:rsid w:val="003C5FF7"/>
    <w:rsid w:val="003C6739"/>
    <w:rsid w:val="003C7669"/>
    <w:rsid w:val="003D0520"/>
    <w:rsid w:val="003D0A87"/>
    <w:rsid w:val="003D0E68"/>
    <w:rsid w:val="003D1080"/>
    <w:rsid w:val="003D1515"/>
    <w:rsid w:val="003D1F72"/>
    <w:rsid w:val="003D295E"/>
    <w:rsid w:val="003D2FF9"/>
    <w:rsid w:val="003D30DB"/>
    <w:rsid w:val="003D37C0"/>
    <w:rsid w:val="003D42AE"/>
    <w:rsid w:val="003D43BE"/>
    <w:rsid w:val="003D4BBC"/>
    <w:rsid w:val="003D54E8"/>
    <w:rsid w:val="003D55A4"/>
    <w:rsid w:val="003D613B"/>
    <w:rsid w:val="003D62E0"/>
    <w:rsid w:val="003D6AA1"/>
    <w:rsid w:val="003D6D7A"/>
    <w:rsid w:val="003D6FB4"/>
    <w:rsid w:val="003D7258"/>
    <w:rsid w:val="003D7BE2"/>
    <w:rsid w:val="003E22E8"/>
    <w:rsid w:val="003E263B"/>
    <w:rsid w:val="003E33D3"/>
    <w:rsid w:val="003E3D7D"/>
    <w:rsid w:val="003E43CF"/>
    <w:rsid w:val="003E5202"/>
    <w:rsid w:val="003E5538"/>
    <w:rsid w:val="003E72E8"/>
    <w:rsid w:val="003E78ED"/>
    <w:rsid w:val="003E7CA4"/>
    <w:rsid w:val="003E7CEB"/>
    <w:rsid w:val="003F08EA"/>
    <w:rsid w:val="003F0AF0"/>
    <w:rsid w:val="003F149D"/>
    <w:rsid w:val="003F1C19"/>
    <w:rsid w:val="003F1E70"/>
    <w:rsid w:val="003F2A56"/>
    <w:rsid w:val="003F2FA6"/>
    <w:rsid w:val="003F3201"/>
    <w:rsid w:val="003F3378"/>
    <w:rsid w:val="003F3CE1"/>
    <w:rsid w:val="003F5DB6"/>
    <w:rsid w:val="003F6748"/>
    <w:rsid w:val="003F6917"/>
    <w:rsid w:val="003F717D"/>
    <w:rsid w:val="003F7506"/>
    <w:rsid w:val="00400659"/>
    <w:rsid w:val="004022A4"/>
    <w:rsid w:val="00402BB8"/>
    <w:rsid w:val="004030A8"/>
    <w:rsid w:val="004033E7"/>
    <w:rsid w:val="00403496"/>
    <w:rsid w:val="00404A03"/>
    <w:rsid w:val="004051A0"/>
    <w:rsid w:val="004056B5"/>
    <w:rsid w:val="004057C8"/>
    <w:rsid w:val="00407D8E"/>
    <w:rsid w:val="00407E35"/>
    <w:rsid w:val="00410293"/>
    <w:rsid w:val="00410577"/>
    <w:rsid w:val="00411431"/>
    <w:rsid w:val="004118DE"/>
    <w:rsid w:val="004119F2"/>
    <w:rsid w:val="0041270F"/>
    <w:rsid w:val="00412AB0"/>
    <w:rsid w:val="00413743"/>
    <w:rsid w:val="00414CC8"/>
    <w:rsid w:val="00415C1F"/>
    <w:rsid w:val="00415CCF"/>
    <w:rsid w:val="004163E5"/>
    <w:rsid w:val="00416E86"/>
    <w:rsid w:val="00416F6D"/>
    <w:rsid w:val="00416F9A"/>
    <w:rsid w:val="00417A18"/>
    <w:rsid w:val="00417AB6"/>
    <w:rsid w:val="004200D9"/>
    <w:rsid w:val="00420698"/>
    <w:rsid w:val="00420D30"/>
    <w:rsid w:val="0042344B"/>
    <w:rsid w:val="004236E8"/>
    <w:rsid w:val="00424FE3"/>
    <w:rsid w:val="00425798"/>
    <w:rsid w:val="00425A93"/>
    <w:rsid w:val="004260DE"/>
    <w:rsid w:val="00426A16"/>
    <w:rsid w:val="004275AD"/>
    <w:rsid w:val="0043049B"/>
    <w:rsid w:val="00430921"/>
    <w:rsid w:val="00431849"/>
    <w:rsid w:val="00432D26"/>
    <w:rsid w:val="00434137"/>
    <w:rsid w:val="00434292"/>
    <w:rsid w:val="004352C3"/>
    <w:rsid w:val="00436072"/>
    <w:rsid w:val="00437716"/>
    <w:rsid w:val="0043782E"/>
    <w:rsid w:val="00437A4F"/>
    <w:rsid w:val="00437CF7"/>
    <w:rsid w:val="0044038D"/>
    <w:rsid w:val="00440C20"/>
    <w:rsid w:val="00440CC8"/>
    <w:rsid w:val="0044264E"/>
    <w:rsid w:val="0044304A"/>
    <w:rsid w:val="00443169"/>
    <w:rsid w:val="00443591"/>
    <w:rsid w:val="004437C7"/>
    <w:rsid w:val="00443D96"/>
    <w:rsid w:val="0044424E"/>
    <w:rsid w:val="00444884"/>
    <w:rsid w:val="004455C4"/>
    <w:rsid w:val="004456E4"/>
    <w:rsid w:val="00446B2D"/>
    <w:rsid w:val="00446CEB"/>
    <w:rsid w:val="00446D98"/>
    <w:rsid w:val="00447658"/>
    <w:rsid w:val="004476D1"/>
    <w:rsid w:val="00450068"/>
    <w:rsid w:val="00450E0E"/>
    <w:rsid w:val="00451A9A"/>
    <w:rsid w:val="00451BFF"/>
    <w:rsid w:val="00451E73"/>
    <w:rsid w:val="004524A2"/>
    <w:rsid w:val="004525FF"/>
    <w:rsid w:val="00452A8D"/>
    <w:rsid w:val="004546CD"/>
    <w:rsid w:val="00454A48"/>
    <w:rsid w:val="00454A65"/>
    <w:rsid w:val="00454C1B"/>
    <w:rsid w:val="00454D2A"/>
    <w:rsid w:val="00455276"/>
    <w:rsid w:val="0045549E"/>
    <w:rsid w:val="00456521"/>
    <w:rsid w:val="004579DB"/>
    <w:rsid w:val="004601B5"/>
    <w:rsid w:val="00460F3E"/>
    <w:rsid w:val="00460F5D"/>
    <w:rsid w:val="0046110B"/>
    <w:rsid w:val="00461115"/>
    <w:rsid w:val="00461ACB"/>
    <w:rsid w:val="00461FE7"/>
    <w:rsid w:val="0046233C"/>
    <w:rsid w:val="00462F8D"/>
    <w:rsid w:val="0046320E"/>
    <w:rsid w:val="00463FE8"/>
    <w:rsid w:val="00467872"/>
    <w:rsid w:val="00467961"/>
    <w:rsid w:val="00470AFA"/>
    <w:rsid w:val="00470EA2"/>
    <w:rsid w:val="004711F7"/>
    <w:rsid w:val="004716CC"/>
    <w:rsid w:val="00473F7C"/>
    <w:rsid w:val="004748B5"/>
    <w:rsid w:val="00476093"/>
    <w:rsid w:val="0047645C"/>
    <w:rsid w:val="00477795"/>
    <w:rsid w:val="00480B15"/>
    <w:rsid w:val="004815BB"/>
    <w:rsid w:val="0048233D"/>
    <w:rsid w:val="0048237D"/>
    <w:rsid w:val="00482BA5"/>
    <w:rsid w:val="004838A4"/>
    <w:rsid w:val="00484142"/>
    <w:rsid w:val="004858BC"/>
    <w:rsid w:val="00486AF4"/>
    <w:rsid w:val="0048726B"/>
    <w:rsid w:val="00487818"/>
    <w:rsid w:val="00487F3B"/>
    <w:rsid w:val="0049020C"/>
    <w:rsid w:val="004904B1"/>
    <w:rsid w:val="0049127B"/>
    <w:rsid w:val="00491C94"/>
    <w:rsid w:val="00491D5E"/>
    <w:rsid w:val="00492636"/>
    <w:rsid w:val="00493A0E"/>
    <w:rsid w:val="00494C45"/>
    <w:rsid w:val="0049556E"/>
    <w:rsid w:val="00496516"/>
    <w:rsid w:val="004966D6"/>
    <w:rsid w:val="0049744D"/>
    <w:rsid w:val="004A0460"/>
    <w:rsid w:val="004A0D1E"/>
    <w:rsid w:val="004A0D58"/>
    <w:rsid w:val="004A1569"/>
    <w:rsid w:val="004A4A8C"/>
    <w:rsid w:val="004A4D3C"/>
    <w:rsid w:val="004A5521"/>
    <w:rsid w:val="004A5B33"/>
    <w:rsid w:val="004A5D8E"/>
    <w:rsid w:val="004A71F9"/>
    <w:rsid w:val="004A77E6"/>
    <w:rsid w:val="004B018E"/>
    <w:rsid w:val="004B0231"/>
    <w:rsid w:val="004B0AEC"/>
    <w:rsid w:val="004B140F"/>
    <w:rsid w:val="004B16B8"/>
    <w:rsid w:val="004B1776"/>
    <w:rsid w:val="004B187F"/>
    <w:rsid w:val="004B2052"/>
    <w:rsid w:val="004B2228"/>
    <w:rsid w:val="004B25FB"/>
    <w:rsid w:val="004B29D1"/>
    <w:rsid w:val="004B3466"/>
    <w:rsid w:val="004B4545"/>
    <w:rsid w:val="004B4A03"/>
    <w:rsid w:val="004B4AEB"/>
    <w:rsid w:val="004B4C3C"/>
    <w:rsid w:val="004B50C2"/>
    <w:rsid w:val="004B5B48"/>
    <w:rsid w:val="004B5EBC"/>
    <w:rsid w:val="004B72C4"/>
    <w:rsid w:val="004B75C4"/>
    <w:rsid w:val="004C030B"/>
    <w:rsid w:val="004C0FCB"/>
    <w:rsid w:val="004C3A8B"/>
    <w:rsid w:val="004C4480"/>
    <w:rsid w:val="004C46E3"/>
    <w:rsid w:val="004C486D"/>
    <w:rsid w:val="004C7A18"/>
    <w:rsid w:val="004C7D6F"/>
    <w:rsid w:val="004C7F96"/>
    <w:rsid w:val="004D0544"/>
    <w:rsid w:val="004D0750"/>
    <w:rsid w:val="004D116D"/>
    <w:rsid w:val="004D147A"/>
    <w:rsid w:val="004D1854"/>
    <w:rsid w:val="004D1915"/>
    <w:rsid w:val="004D2626"/>
    <w:rsid w:val="004D2CD8"/>
    <w:rsid w:val="004D2D84"/>
    <w:rsid w:val="004D2ECC"/>
    <w:rsid w:val="004D3207"/>
    <w:rsid w:val="004D3613"/>
    <w:rsid w:val="004D3E26"/>
    <w:rsid w:val="004D49D0"/>
    <w:rsid w:val="004D56A0"/>
    <w:rsid w:val="004D609D"/>
    <w:rsid w:val="004D64A3"/>
    <w:rsid w:val="004D68B6"/>
    <w:rsid w:val="004D74EC"/>
    <w:rsid w:val="004E16A8"/>
    <w:rsid w:val="004E23B8"/>
    <w:rsid w:val="004E2EBF"/>
    <w:rsid w:val="004E5444"/>
    <w:rsid w:val="004E5D21"/>
    <w:rsid w:val="004E5E45"/>
    <w:rsid w:val="004E7841"/>
    <w:rsid w:val="004F04BB"/>
    <w:rsid w:val="004F0990"/>
    <w:rsid w:val="004F18AA"/>
    <w:rsid w:val="004F2470"/>
    <w:rsid w:val="004F24A5"/>
    <w:rsid w:val="004F25FD"/>
    <w:rsid w:val="004F35D3"/>
    <w:rsid w:val="004F3766"/>
    <w:rsid w:val="004F3A7E"/>
    <w:rsid w:val="004F3F1E"/>
    <w:rsid w:val="004F3FE1"/>
    <w:rsid w:val="004F4222"/>
    <w:rsid w:val="004F44A2"/>
    <w:rsid w:val="004F44FA"/>
    <w:rsid w:val="004F6664"/>
    <w:rsid w:val="004F6D12"/>
    <w:rsid w:val="00500A31"/>
    <w:rsid w:val="00500A58"/>
    <w:rsid w:val="00501040"/>
    <w:rsid w:val="00501365"/>
    <w:rsid w:val="0050202E"/>
    <w:rsid w:val="005021B0"/>
    <w:rsid w:val="00502AB5"/>
    <w:rsid w:val="005037E5"/>
    <w:rsid w:val="00503EAF"/>
    <w:rsid w:val="00504484"/>
    <w:rsid w:val="00504AAE"/>
    <w:rsid w:val="00504D39"/>
    <w:rsid w:val="005051BD"/>
    <w:rsid w:val="00505A62"/>
    <w:rsid w:val="00506279"/>
    <w:rsid w:val="0050673D"/>
    <w:rsid w:val="00506BA6"/>
    <w:rsid w:val="005077DB"/>
    <w:rsid w:val="005077E1"/>
    <w:rsid w:val="00507F0D"/>
    <w:rsid w:val="00510527"/>
    <w:rsid w:val="00510775"/>
    <w:rsid w:val="005118D4"/>
    <w:rsid w:val="00511EBF"/>
    <w:rsid w:val="00512021"/>
    <w:rsid w:val="00512847"/>
    <w:rsid w:val="00512FDA"/>
    <w:rsid w:val="00513260"/>
    <w:rsid w:val="0051342E"/>
    <w:rsid w:val="005135FD"/>
    <w:rsid w:val="00513F7D"/>
    <w:rsid w:val="00514699"/>
    <w:rsid w:val="005159D2"/>
    <w:rsid w:val="00515BBC"/>
    <w:rsid w:val="00516414"/>
    <w:rsid w:val="0051687C"/>
    <w:rsid w:val="00516B6E"/>
    <w:rsid w:val="005170AD"/>
    <w:rsid w:val="005175F7"/>
    <w:rsid w:val="005177D4"/>
    <w:rsid w:val="00517F62"/>
    <w:rsid w:val="00520C22"/>
    <w:rsid w:val="00521020"/>
    <w:rsid w:val="005216E0"/>
    <w:rsid w:val="005226DD"/>
    <w:rsid w:val="005238E2"/>
    <w:rsid w:val="00523AD8"/>
    <w:rsid w:val="005241ED"/>
    <w:rsid w:val="00524CBF"/>
    <w:rsid w:val="00525F49"/>
    <w:rsid w:val="0052767C"/>
    <w:rsid w:val="00533A66"/>
    <w:rsid w:val="005347C1"/>
    <w:rsid w:val="00534C8F"/>
    <w:rsid w:val="00534C9C"/>
    <w:rsid w:val="0053501E"/>
    <w:rsid w:val="005350C1"/>
    <w:rsid w:val="00535134"/>
    <w:rsid w:val="00536C9E"/>
    <w:rsid w:val="00540245"/>
    <w:rsid w:val="00540301"/>
    <w:rsid w:val="00540C0D"/>
    <w:rsid w:val="00540FEE"/>
    <w:rsid w:val="005414F2"/>
    <w:rsid w:val="00541947"/>
    <w:rsid w:val="00541ECB"/>
    <w:rsid w:val="00541F1A"/>
    <w:rsid w:val="0054393B"/>
    <w:rsid w:val="00543D78"/>
    <w:rsid w:val="00544A76"/>
    <w:rsid w:val="00544EE6"/>
    <w:rsid w:val="00544F93"/>
    <w:rsid w:val="005454D4"/>
    <w:rsid w:val="005458A9"/>
    <w:rsid w:val="00545C95"/>
    <w:rsid w:val="00545CC9"/>
    <w:rsid w:val="00546A0D"/>
    <w:rsid w:val="005473C6"/>
    <w:rsid w:val="00547B81"/>
    <w:rsid w:val="00547C2D"/>
    <w:rsid w:val="0055048F"/>
    <w:rsid w:val="005514A7"/>
    <w:rsid w:val="00551EF9"/>
    <w:rsid w:val="005523D0"/>
    <w:rsid w:val="00553505"/>
    <w:rsid w:val="005544E7"/>
    <w:rsid w:val="00554A25"/>
    <w:rsid w:val="00554B0F"/>
    <w:rsid w:val="00554B28"/>
    <w:rsid w:val="0055508A"/>
    <w:rsid w:val="0055512E"/>
    <w:rsid w:val="005563D4"/>
    <w:rsid w:val="00556503"/>
    <w:rsid w:val="005577BC"/>
    <w:rsid w:val="00560408"/>
    <w:rsid w:val="00560A5C"/>
    <w:rsid w:val="005610D3"/>
    <w:rsid w:val="00561AA9"/>
    <w:rsid w:val="0056230F"/>
    <w:rsid w:val="00562A91"/>
    <w:rsid w:val="00562F06"/>
    <w:rsid w:val="00563BC4"/>
    <w:rsid w:val="00564D55"/>
    <w:rsid w:val="0056540A"/>
    <w:rsid w:val="0056667F"/>
    <w:rsid w:val="00566B30"/>
    <w:rsid w:val="005708BF"/>
    <w:rsid w:val="00571755"/>
    <w:rsid w:val="005717C9"/>
    <w:rsid w:val="00571C41"/>
    <w:rsid w:val="005726A5"/>
    <w:rsid w:val="00572D12"/>
    <w:rsid w:val="005739DA"/>
    <w:rsid w:val="00573C9B"/>
    <w:rsid w:val="005745DD"/>
    <w:rsid w:val="005762DF"/>
    <w:rsid w:val="00576B30"/>
    <w:rsid w:val="00577049"/>
    <w:rsid w:val="00577884"/>
    <w:rsid w:val="00580679"/>
    <w:rsid w:val="00583D13"/>
    <w:rsid w:val="005841DE"/>
    <w:rsid w:val="00584D6C"/>
    <w:rsid w:val="00584E9B"/>
    <w:rsid w:val="00586318"/>
    <w:rsid w:val="00586491"/>
    <w:rsid w:val="0058681E"/>
    <w:rsid w:val="00587114"/>
    <w:rsid w:val="00587594"/>
    <w:rsid w:val="005877A3"/>
    <w:rsid w:val="00590B75"/>
    <w:rsid w:val="005920BE"/>
    <w:rsid w:val="00594DBC"/>
    <w:rsid w:val="00595E4C"/>
    <w:rsid w:val="00595F72"/>
    <w:rsid w:val="00596C81"/>
    <w:rsid w:val="00596E6C"/>
    <w:rsid w:val="00597EFF"/>
    <w:rsid w:val="005A0280"/>
    <w:rsid w:val="005A0BA2"/>
    <w:rsid w:val="005A1467"/>
    <w:rsid w:val="005A17C3"/>
    <w:rsid w:val="005A23DF"/>
    <w:rsid w:val="005A3A4E"/>
    <w:rsid w:val="005A4B90"/>
    <w:rsid w:val="005A4DC3"/>
    <w:rsid w:val="005A5779"/>
    <w:rsid w:val="005A63C8"/>
    <w:rsid w:val="005A6CF2"/>
    <w:rsid w:val="005A6FEF"/>
    <w:rsid w:val="005A7710"/>
    <w:rsid w:val="005A7A04"/>
    <w:rsid w:val="005B0225"/>
    <w:rsid w:val="005B03AD"/>
    <w:rsid w:val="005B0525"/>
    <w:rsid w:val="005B0772"/>
    <w:rsid w:val="005B07BA"/>
    <w:rsid w:val="005B0968"/>
    <w:rsid w:val="005B1771"/>
    <w:rsid w:val="005B1886"/>
    <w:rsid w:val="005B1C28"/>
    <w:rsid w:val="005B1D03"/>
    <w:rsid w:val="005B1FFE"/>
    <w:rsid w:val="005B21AC"/>
    <w:rsid w:val="005B33E9"/>
    <w:rsid w:val="005B3AC9"/>
    <w:rsid w:val="005B4709"/>
    <w:rsid w:val="005B473D"/>
    <w:rsid w:val="005B4BEF"/>
    <w:rsid w:val="005B653A"/>
    <w:rsid w:val="005B69A5"/>
    <w:rsid w:val="005B6BF0"/>
    <w:rsid w:val="005B781A"/>
    <w:rsid w:val="005B7929"/>
    <w:rsid w:val="005C0122"/>
    <w:rsid w:val="005C02CB"/>
    <w:rsid w:val="005C07D1"/>
    <w:rsid w:val="005C11E9"/>
    <w:rsid w:val="005C1656"/>
    <w:rsid w:val="005C16D5"/>
    <w:rsid w:val="005C1949"/>
    <w:rsid w:val="005C2264"/>
    <w:rsid w:val="005C31B5"/>
    <w:rsid w:val="005C3419"/>
    <w:rsid w:val="005C3BA8"/>
    <w:rsid w:val="005C556F"/>
    <w:rsid w:val="005C5790"/>
    <w:rsid w:val="005C5BF9"/>
    <w:rsid w:val="005C7046"/>
    <w:rsid w:val="005C7EFF"/>
    <w:rsid w:val="005D0260"/>
    <w:rsid w:val="005D09DA"/>
    <w:rsid w:val="005D1711"/>
    <w:rsid w:val="005D269D"/>
    <w:rsid w:val="005D31F9"/>
    <w:rsid w:val="005D34F8"/>
    <w:rsid w:val="005D3F1A"/>
    <w:rsid w:val="005D4129"/>
    <w:rsid w:val="005D52ED"/>
    <w:rsid w:val="005D6BF5"/>
    <w:rsid w:val="005D786A"/>
    <w:rsid w:val="005D7CFA"/>
    <w:rsid w:val="005D7FB1"/>
    <w:rsid w:val="005E13C4"/>
    <w:rsid w:val="005E16E2"/>
    <w:rsid w:val="005E22E2"/>
    <w:rsid w:val="005E256D"/>
    <w:rsid w:val="005E3048"/>
    <w:rsid w:val="005E396A"/>
    <w:rsid w:val="005E4053"/>
    <w:rsid w:val="005E4A7C"/>
    <w:rsid w:val="005E6A52"/>
    <w:rsid w:val="005E7757"/>
    <w:rsid w:val="005E79F0"/>
    <w:rsid w:val="005F0105"/>
    <w:rsid w:val="005F1138"/>
    <w:rsid w:val="005F14CA"/>
    <w:rsid w:val="005F1655"/>
    <w:rsid w:val="005F20AD"/>
    <w:rsid w:val="005F234B"/>
    <w:rsid w:val="005F274D"/>
    <w:rsid w:val="005F3583"/>
    <w:rsid w:val="005F3C07"/>
    <w:rsid w:val="005F55D9"/>
    <w:rsid w:val="005F6003"/>
    <w:rsid w:val="005F637C"/>
    <w:rsid w:val="005F6FF0"/>
    <w:rsid w:val="005F72DB"/>
    <w:rsid w:val="00601002"/>
    <w:rsid w:val="006020CE"/>
    <w:rsid w:val="006021BB"/>
    <w:rsid w:val="0060289B"/>
    <w:rsid w:val="00602AC9"/>
    <w:rsid w:val="00602C71"/>
    <w:rsid w:val="00602CCF"/>
    <w:rsid w:val="00604130"/>
    <w:rsid w:val="00605258"/>
    <w:rsid w:val="006056A6"/>
    <w:rsid w:val="00605ADE"/>
    <w:rsid w:val="00606A44"/>
    <w:rsid w:val="00607C77"/>
    <w:rsid w:val="00610756"/>
    <w:rsid w:val="00610C6C"/>
    <w:rsid w:val="006110C8"/>
    <w:rsid w:val="006124D9"/>
    <w:rsid w:val="006126DE"/>
    <w:rsid w:val="0061276D"/>
    <w:rsid w:val="00612D87"/>
    <w:rsid w:val="006131CD"/>
    <w:rsid w:val="00613374"/>
    <w:rsid w:val="00613AE8"/>
    <w:rsid w:val="00613FE1"/>
    <w:rsid w:val="00614330"/>
    <w:rsid w:val="00615B57"/>
    <w:rsid w:val="00616D52"/>
    <w:rsid w:val="006172FB"/>
    <w:rsid w:val="00617342"/>
    <w:rsid w:val="00617559"/>
    <w:rsid w:val="00617F7D"/>
    <w:rsid w:val="006202C2"/>
    <w:rsid w:val="0062036C"/>
    <w:rsid w:val="00620A4A"/>
    <w:rsid w:val="00620FF6"/>
    <w:rsid w:val="006212A5"/>
    <w:rsid w:val="0062157D"/>
    <w:rsid w:val="00621E79"/>
    <w:rsid w:val="00622808"/>
    <w:rsid w:val="00622CFA"/>
    <w:rsid w:val="006230B3"/>
    <w:rsid w:val="00623305"/>
    <w:rsid w:val="006235D7"/>
    <w:rsid w:val="006243B7"/>
    <w:rsid w:val="00624AC6"/>
    <w:rsid w:val="006253FE"/>
    <w:rsid w:val="00625826"/>
    <w:rsid w:val="0062616B"/>
    <w:rsid w:val="00626D30"/>
    <w:rsid w:val="00627147"/>
    <w:rsid w:val="00627236"/>
    <w:rsid w:val="00627BB0"/>
    <w:rsid w:val="006304A7"/>
    <w:rsid w:val="006311C1"/>
    <w:rsid w:val="0063132F"/>
    <w:rsid w:val="00631474"/>
    <w:rsid w:val="006314D1"/>
    <w:rsid w:val="00631ECB"/>
    <w:rsid w:val="00632593"/>
    <w:rsid w:val="00633888"/>
    <w:rsid w:val="00633B21"/>
    <w:rsid w:val="00633B4C"/>
    <w:rsid w:val="0063415C"/>
    <w:rsid w:val="00635264"/>
    <w:rsid w:val="006360DA"/>
    <w:rsid w:val="006362B8"/>
    <w:rsid w:val="00636570"/>
    <w:rsid w:val="00636A12"/>
    <w:rsid w:val="00636C0E"/>
    <w:rsid w:val="0063700B"/>
    <w:rsid w:val="00637635"/>
    <w:rsid w:val="00637A82"/>
    <w:rsid w:val="0064065D"/>
    <w:rsid w:val="00640AE9"/>
    <w:rsid w:val="00643E04"/>
    <w:rsid w:val="00644E2A"/>
    <w:rsid w:val="00644F90"/>
    <w:rsid w:val="00645A55"/>
    <w:rsid w:val="00645BB9"/>
    <w:rsid w:val="00647939"/>
    <w:rsid w:val="00647E7B"/>
    <w:rsid w:val="00650057"/>
    <w:rsid w:val="00650E19"/>
    <w:rsid w:val="00651159"/>
    <w:rsid w:val="00651A6A"/>
    <w:rsid w:val="00651E27"/>
    <w:rsid w:val="00651F13"/>
    <w:rsid w:val="006533E7"/>
    <w:rsid w:val="00653689"/>
    <w:rsid w:val="00653802"/>
    <w:rsid w:val="00653CC7"/>
    <w:rsid w:val="00654546"/>
    <w:rsid w:val="00654788"/>
    <w:rsid w:val="00654E11"/>
    <w:rsid w:val="00655708"/>
    <w:rsid w:val="006558FC"/>
    <w:rsid w:val="00655D18"/>
    <w:rsid w:val="006562F0"/>
    <w:rsid w:val="006568FC"/>
    <w:rsid w:val="00656BB3"/>
    <w:rsid w:val="0065703B"/>
    <w:rsid w:val="00660961"/>
    <w:rsid w:val="006612F4"/>
    <w:rsid w:val="00661B63"/>
    <w:rsid w:val="00662CC2"/>
    <w:rsid w:val="00663059"/>
    <w:rsid w:val="00664388"/>
    <w:rsid w:val="0066552D"/>
    <w:rsid w:val="0066573A"/>
    <w:rsid w:val="00666704"/>
    <w:rsid w:val="00666B5A"/>
    <w:rsid w:val="00666B5C"/>
    <w:rsid w:val="00670307"/>
    <w:rsid w:val="00670414"/>
    <w:rsid w:val="00670E6D"/>
    <w:rsid w:val="00671F2A"/>
    <w:rsid w:val="006721BC"/>
    <w:rsid w:val="0067315C"/>
    <w:rsid w:val="0067349A"/>
    <w:rsid w:val="00674DFB"/>
    <w:rsid w:val="00675080"/>
    <w:rsid w:val="00676948"/>
    <w:rsid w:val="00676A48"/>
    <w:rsid w:val="00676B0A"/>
    <w:rsid w:val="00676BAD"/>
    <w:rsid w:val="00676E2B"/>
    <w:rsid w:val="006800D5"/>
    <w:rsid w:val="00680346"/>
    <w:rsid w:val="0068091B"/>
    <w:rsid w:val="006814FA"/>
    <w:rsid w:val="00681C49"/>
    <w:rsid w:val="00682946"/>
    <w:rsid w:val="00682BCF"/>
    <w:rsid w:val="00683506"/>
    <w:rsid w:val="006835C4"/>
    <w:rsid w:val="006836A2"/>
    <w:rsid w:val="0068431A"/>
    <w:rsid w:val="00684F61"/>
    <w:rsid w:val="0068516F"/>
    <w:rsid w:val="006852B5"/>
    <w:rsid w:val="00685307"/>
    <w:rsid w:val="00686093"/>
    <w:rsid w:val="006866A0"/>
    <w:rsid w:val="00686725"/>
    <w:rsid w:val="006867B2"/>
    <w:rsid w:val="00687271"/>
    <w:rsid w:val="006872AA"/>
    <w:rsid w:val="0069070F"/>
    <w:rsid w:val="00690E41"/>
    <w:rsid w:val="006912E6"/>
    <w:rsid w:val="00691ACB"/>
    <w:rsid w:val="006933DC"/>
    <w:rsid w:val="00693C43"/>
    <w:rsid w:val="006945ED"/>
    <w:rsid w:val="00695552"/>
    <w:rsid w:val="00696297"/>
    <w:rsid w:val="00696317"/>
    <w:rsid w:val="00696F67"/>
    <w:rsid w:val="00697806"/>
    <w:rsid w:val="006A0312"/>
    <w:rsid w:val="006A0B5C"/>
    <w:rsid w:val="006A10E2"/>
    <w:rsid w:val="006A11D3"/>
    <w:rsid w:val="006A1AEA"/>
    <w:rsid w:val="006A1B6D"/>
    <w:rsid w:val="006A2465"/>
    <w:rsid w:val="006A281B"/>
    <w:rsid w:val="006A2D03"/>
    <w:rsid w:val="006A398D"/>
    <w:rsid w:val="006A3AEF"/>
    <w:rsid w:val="006A3B33"/>
    <w:rsid w:val="006A5104"/>
    <w:rsid w:val="006A5589"/>
    <w:rsid w:val="006A577E"/>
    <w:rsid w:val="006A582C"/>
    <w:rsid w:val="006A6081"/>
    <w:rsid w:val="006A6EC4"/>
    <w:rsid w:val="006A7261"/>
    <w:rsid w:val="006A75E1"/>
    <w:rsid w:val="006A7F40"/>
    <w:rsid w:val="006B00D5"/>
    <w:rsid w:val="006B0404"/>
    <w:rsid w:val="006B06B3"/>
    <w:rsid w:val="006B0BD0"/>
    <w:rsid w:val="006B163E"/>
    <w:rsid w:val="006B329C"/>
    <w:rsid w:val="006B3A1F"/>
    <w:rsid w:val="006B4CF1"/>
    <w:rsid w:val="006B5791"/>
    <w:rsid w:val="006B5BF4"/>
    <w:rsid w:val="006B66D8"/>
    <w:rsid w:val="006B6E86"/>
    <w:rsid w:val="006C08F6"/>
    <w:rsid w:val="006C0E23"/>
    <w:rsid w:val="006C123D"/>
    <w:rsid w:val="006C1304"/>
    <w:rsid w:val="006C1C25"/>
    <w:rsid w:val="006C2D0F"/>
    <w:rsid w:val="006C2DD4"/>
    <w:rsid w:val="006C3B20"/>
    <w:rsid w:val="006C3FA7"/>
    <w:rsid w:val="006C4090"/>
    <w:rsid w:val="006C4193"/>
    <w:rsid w:val="006C4AD4"/>
    <w:rsid w:val="006C5CAC"/>
    <w:rsid w:val="006C66A3"/>
    <w:rsid w:val="006C6D71"/>
    <w:rsid w:val="006C7F36"/>
    <w:rsid w:val="006D11E0"/>
    <w:rsid w:val="006D24D5"/>
    <w:rsid w:val="006D27FB"/>
    <w:rsid w:val="006D2CF8"/>
    <w:rsid w:val="006D3C00"/>
    <w:rsid w:val="006D487F"/>
    <w:rsid w:val="006D4900"/>
    <w:rsid w:val="006D49B8"/>
    <w:rsid w:val="006D4EBD"/>
    <w:rsid w:val="006D4F8A"/>
    <w:rsid w:val="006D5D05"/>
    <w:rsid w:val="006D6383"/>
    <w:rsid w:val="006D6AE9"/>
    <w:rsid w:val="006D79C8"/>
    <w:rsid w:val="006E059C"/>
    <w:rsid w:val="006E3387"/>
    <w:rsid w:val="006E68B5"/>
    <w:rsid w:val="006E7497"/>
    <w:rsid w:val="006E7E76"/>
    <w:rsid w:val="006F05F7"/>
    <w:rsid w:val="006F0AD1"/>
    <w:rsid w:val="006F1802"/>
    <w:rsid w:val="006F2850"/>
    <w:rsid w:val="006F2A18"/>
    <w:rsid w:val="006F386A"/>
    <w:rsid w:val="006F397C"/>
    <w:rsid w:val="006F3D11"/>
    <w:rsid w:val="006F4379"/>
    <w:rsid w:val="006F454E"/>
    <w:rsid w:val="006F5099"/>
    <w:rsid w:val="006F59ED"/>
    <w:rsid w:val="006F66B0"/>
    <w:rsid w:val="006F6A03"/>
    <w:rsid w:val="006F6C5F"/>
    <w:rsid w:val="006F7D33"/>
    <w:rsid w:val="00700010"/>
    <w:rsid w:val="0070190B"/>
    <w:rsid w:val="007019C7"/>
    <w:rsid w:val="00701C20"/>
    <w:rsid w:val="00703011"/>
    <w:rsid w:val="00704231"/>
    <w:rsid w:val="00704BFF"/>
    <w:rsid w:val="007062A7"/>
    <w:rsid w:val="0070683A"/>
    <w:rsid w:val="00706A74"/>
    <w:rsid w:val="00706E48"/>
    <w:rsid w:val="007075C4"/>
    <w:rsid w:val="00710B08"/>
    <w:rsid w:val="007117D2"/>
    <w:rsid w:val="0071180B"/>
    <w:rsid w:val="00711F22"/>
    <w:rsid w:val="00712365"/>
    <w:rsid w:val="00712F31"/>
    <w:rsid w:val="00713C69"/>
    <w:rsid w:val="007159E7"/>
    <w:rsid w:val="007177E5"/>
    <w:rsid w:val="00717EF3"/>
    <w:rsid w:val="0072032F"/>
    <w:rsid w:val="007205AC"/>
    <w:rsid w:val="0072061E"/>
    <w:rsid w:val="007210C3"/>
    <w:rsid w:val="007212BF"/>
    <w:rsid w:val="007226E4"/>
    <w:rsid w:val="00723313"/>
    <w:rsid w:val="00723C48"/>
    <w:rsid w:val="007253CF"/>
    <w:rsid w:val="00726D85"/>
    <w:rsid w:val="007271EA"/>
    <w:rsid w:val="007275A8"/>
    <w:rsid w:val="00730093"/>
    <w:rsid w:val="007301CE"/>
    <w:rsid w:val="007308C7"/>
    <w:rsid w:val="00730EE6"/>
    <w:rsid w:val="00730FE0"/>
    <w:rsid w:val="00731814"/>
    <w:rsid w:val="007319B3"/>
    <w:rsid w:val="00731ED0"/>
    <w:rsid w:val="0073274F"/>
    <w:rsid w:val="007336C6"/>
    <w:rsid w:val="00734047"/>
    <w:rsid w:val="00735176"/>
    <w:rsid w:val="00736891"/>
    <w:rsid w:val="00736C70"/>
    <w:rsid w:val="007370E1"/>
    <w:rsid w:val="0073753F"/>
    <w:rsid w:val="00737A25"/>
    <w:rsid w:val="0074023F"/>
    <w:rsid w:val="00740BD3"/>
    <w:rsid w:val="007414F4"/>
    <w:rsid w:val="007422D2"/>
    <w:rsid w:val="00742AC0"/>
    <w:rsid w:val="00743032"/>
    <w:rsid w:val="0074376C"/>
    <w:rsid w:val="007447A5"/>
    <w:rsid w:val="00744C57"/>
    <w:rsid w:val="0074562B"/>
    <w:rsid w:val="00745F38"/>
    <w:rsid w:val="00746367"/>
    <w:rsid w:val="007470CD"/>
    <w:rsid w:val="00747AB3"/>
    <w:rsid w:val="0075138A"/>
    <w:rsid w:val="00751F01"/>
    <w:rsid w:val="007529FF"/>
    <w:rsid w:val="0075473B"/>
    <w:rsid w:val="00754FDE"/>
    <w:rsid w:val="00755A03"/>
    <w:rsid w:val="0075644F"/>
    <w:rsid w:val="00757320"/>
    <w:rsid w:val="0075740D"/>
    <w:rsid w:val="007600D5"/>
    <w:rsid w:val="00760584"/>
    <w:rsid w:val="007606F8"/>
    <w:rsid w:val="00760D59"/>
    <w:rsid w:val="0076127B"/>
    <w:rsid w:val="007613A1"/>
    <w:rsid w:val="007614A8"/>
    <w:rsid w:val="007615F3"/>
    <w:rsid w:val="00761609"/>
    <w:rsid w:val="0076174A"/>
    <w:rsid w:val="00761CBC"/>
    <w:rsid w:val="007620C5"/>
    <w:rsid w:val="007624DB"/>
    <w:rsid w:val="00762CD0"/>
    <w:rsid w:val="0076318B"/>
    <w:rsid w:val="00764662"/>
    <w:rsid w:val="00764EAD"/>
    <w:rsid w:val="00765779"/>
    <w:rsid w:val="007663AF"/>
    <w:rsid w:val="00767763"/>
    <w:rsid w:val="00767DF1"/>
    <w:rsid w:val="00770914"/>
    <w:rsid w:val="00771A4D"/>
    <w:rsid w:val="00771A9D"/>
    <w:rsid w:val="00771D16"/>
    <w:rsid w:val="00773291"/>
    <w:rsid w:val="00773D07"/>
    <w:rsid w:val="007743D1"/>
    <w:rsid w:val="00774936"/>
    <w:rsid w:val="0077549B"/>
    <w:rsid w:val="00775B06"/>
    <w:rsid w:val="00776D19"/>
    <w:rsid w:val="007816CC"/>
    <w:rsid w:val="00781B31"/>
    <w:rsid w:val="00781D53"/>
    <w:rsid w:val="00781E72"/>
    <w:rsid w:val="00782068"/>
    <w:rsid w:val="0078262F"/>
    <w:rsid w:val="00782A8C"/>
    <w:rsid w:val="00782C23"/>
    <w:rsid w:val="00782FF1"/>
    <w:rsid w:val="007841CB"/>
    <w:rsid w:val="007850BA"/>
    <w:rsid w:val="007857D3"/>
    <w:rsid w:val="00786F67"/>
    <w:rsid w:val="0078773F"/>
    <w:rsid w:val="00791A2B"/>
    <w:rsid w:val="00792E77"/>
    <w:rsid w:val="00793807"/>
    <w:rsid w:val="00793AF6"/>
    <w:rsid w:val="007951DB"/>
    <w:rsid w:val="00796DF8"/>
    <w:rsid w:val="00796E98"/>
    <w:rsid w:val="007A01FE"/>
    <w:rsid w:val="007A0FDA"/>
    <w:rsid w:val="007A1F57"/>
    <w:rsid w:val="007A225C"/>
    <w:rsid w:val="007A2865"/>
    <w:rsid w:val="007A2E21"/>
    <w:rsid w:val="007A2EA8"/>
    <w:rsid w:val="007A31BE"/>
    <w:rsid w:val="007A3249"/>
    <w:rsid w:val="007A33A2"/>
    <w:rsid w:val="007A34C4"/>
    <w:rsid w:val="007A35B3"/>
    <w:rsid w:val="007A3ABA"/>
    <w:rsid w:val="007A405F"/>
    <w:rsid w:val="007A41D9"/>
    <w:rsid w:val="007A4F26"/>
    <w:rsid w:val="007A514E"/>
    <w:rsid w:val="007A5382"/>
    <w:rsid w:val="007A55C7"/>
    <w:rsid w:val="007A5F17"/>
    <w:rsid w:val="007A73A7"/>
    <w:rsid w:val="007A7A76"/>
    <w:rsid w:val="007B1931"/>
    <w:rsid w:val="007B24AE"/>
    <w:rsid w:val="007B35A7"/>
    <w:rsid w:val="007B368A"/>
    <w:rsid w:val="007B3B30"/>
    <w:rsid w:val="007B3F96"/>
    <w:rsid w:val="007B425D"/>
    <w:rsid w:val="007B466A"/>
    <w:rsid w:val="007B535D"/>
    <w:rsid w:val="007B5A7A"/>
    <w:rsid w:val="007B67FD"/>
    <w:rsid w:val="007B684F"/>
    <w:rsid w:val="007C0351"/>
    <w:rsid w:val="007C0549"/>
    <w:rsid w:val="007C0630"/>
    <w:rsid w:val="007C06F3"/>
    <w:rsid w:val="007C1772"/>
    <w:rsid w:val="007C2A63"/>
    <w:rsid w:val="007C2D8C"/>
    <w:rsid w:val="007C4447"/>
    <w:rsid w:val="007C4612"/>
    <w:rsid w:val="007C4D2E"/>
    <w:rsid w:val="007C659C"/>
    <w:rsid w:val="007C6789"/>
    <w:rsid w:val="007C6ACF"/>
    <w:rsid w:val="007C707A"/>
    <w:rsid w:val="007C78E5"/>
    <w:rsid w:val="007C7C85"/>
    <w:rsid w:val="007D0540"/>
    <w:rsid w:val="007D0739"/>
    <w:rsid w:val="007D0CD6"/>
    <w:rsid w:val="007D1F52"/>
    <w:rsid w:val="007D2242"/>
    <w:rsid w:val="007D2D78"/>
    <w:rsid w:val="007D40FA"/>
    <w:rsid w:val="007D5E6A"/>
    <w:rsid w:val="007D6253"/>
    <w:rsid w:val="007D67E5"/>
    <w:rsid w:val="007E02C3"/>
    <w:rsid w:val="007E04B7"/>
    <w:rsid w:val="007E0808"/>
    <w:rsid w:val="007E0E24"/>
    <w:rsid w:val="007E136D"/>
    <w:rsid w:val="007E1464"/>
    <w:rsid w:val="007E1866"/>
    <w:rsid w:val="007E1E57"/>
    <w:rsid w:val="007E1E5F"/>
    <w:rsid w:val="007E1F65"/>
    <w:rsid w:val="007E1FE8"/>
    <w:rsid w:val="007E2FED"/>
    <w:rsid w:val="007E401B"/>
    <w:rsid w:val="007E5D3C"/>
    <w:rsid w:val="007E60F2"/>
    <w:rsid w:val="007E6478"/>
    <w:rsid w:val="007E6937"/>
    <w:rsid w:val="007E72F7"/>
    <w:rsid w:val="007E7B21"/>
    <w:rsid w:val="007F0FC0"/>
    <w:rsid w:val="007F1070"/>
    <w:rsid w:val="007F11E7"/>
    <w:rsid w:val="007F12DA"/>
    <w:rsid w:val="007F1587"/>
    <w:rsid w:val="007F19AE"/>
    <w:rsid w:val="007F1A7D"/>
    <w:rsid w:val="007F2179"/>
    <w:rsid w:val="007F25C6"/>
    <w:rsid w:val="007F2F24"/>
    <w:rsid w:val="007F319B"/>
    <w:rsid w:val="007F3739"/>
    <w:rsid w:val="007F531B"/>
    <w:rsid w:val="007F57AC"/>
    <w:rsid w:val="007F5C4B"/>
    <w:rsid w:val="007F6658"/>
    <w:rsid w:val="007F6F30"/>
    <w:rsid w:val="007F7622"/>
    <w:rsid w:val="008012DD"/>
    <w:rsid w:val="00801C2B"/>
    <w:rsid w:val="00802035"/>
    <w:rsid w:val="008029AF"/>
    <w:rsid w:val="0080310F"/>
    <w:rsid w:val="0080460B"/>
    <w:rsid w:val="00804D7A"/>
    <w:rsid w:val="00806AC2"/>
    <w:rsid w:val="00807163"/>
    <w:rsid w:val="00807207"/>
    <w:rsid w:val="00807436"/>
    <w:rsid w:val="00807D11"/>
    <w:rsid w:val="00807F31"/>
    <w:rsid w:val="008104EA"/>
    <w:rsid w:val="00810D4A"/>
    <w:rsid w:val="008112D0"/>
    <w:rsid w:val="00811A76"/>
    <w:rsid w:val="00813389"/>
    <w:rsid w:val="00813C3E"/>
    <w:rsid w:val="00813D1D"/>
    <w:rsid w:val="008140E2"/>
    <w:rsid w:val="008142C8"/>
    <w:rsid w:val="008157B8"/>
    <w:rsid w:val="0081594B"/>
    <w:rsid w:val="0081600C"/>
    <w:rsid w:val="0081742C"/>
    <w:rsid w:val="00817D5F"/>
    <w:rsid w:val="00820DC6"/>
    <w:rsid w:val="008210C0"/>
    <w:rsid w:val="0082253E"/>
    <w:rsid w:val="0082297D"/>
    <w:rsid w:val="00824DC3"/>
    <w:rsid w:val="00825604"/>
    <w:rsid w:val="008256E6"/>
    <w:rsid w:val="00826CAB"/>
    <w:rsid w:val="00827136"/>
    <w:rsid w:val="008276C8"/>
    <w:rsid w:val="0083041C"/>
    <w:rsid w:val="0083156A"/>
    <w:rsid w:val="0083171C"/>
    <w:rsid w:val="00831E73"/>
    <w:rsid w:val="008325D8"/>
    <w:rsid w:val="008342E3"/>
    <w:rsid w:val="008345A7"/>
    <w:rsid w:val="00834D49"/>
    <w:rsid w:val="00834EAE"/>
    <w:rsid w:val="00834F92"/>
    <w:rsid w:val="00835EFD"/>
    <w:rsid w:val="008363FD"/>
    <w:rsid w:val="00836BFC"/>
    <w:rsid w:val="00836E7A"/>
    <w:rsid w:val="00836FE1"/>
    <w:rsid w:val="00837788"/>
    <w:rsid w:val="0083798B"/>
    <w:rsid w:val="00837FB8"/>
    <w:rsid w:val="00840120"/>
    <w:rsid w:val="008408BE"/>
    <w:rsid w:val="008408D9"/>
    <w:rsid w:val="00840E87"/>
    <w:rsid w:val="0084305C"/>
    <w:rsid w:val="0084326C"/>
    <w:rsid w:val="00843630"/>
    <w:rsid w:val="00843B7D"/>
    <w:rsid w:val="00843CF5"/>
    <w:rsid w:val="00844A08"/>
    <w:rsid w:val="00845581"/>
    <w:rsid w:val="00845A85"/>
    <w:rsid w:val="00850B64"/>
    <w:rsid w:val="0085173C"/>
    <w:rsid w:val="0085194A"/>
    <w:rsid w:val="00851F2F"/>
    <w:rsid w:val="00852E59"/>
    <w:rsid w:val="00853A1A"/>
    <w:rsid w:val="00853D1F"/>
    <w:rsid w:val="00853E87"/>
    <w:rsid w:val="008544A3"/>
    <w:rsid w:val="0085489D"/>
    <w:rsid w:val="0085574E"/>
    <w:rsid w:val="00855EE2"/>
    <w:rsid w:val="0085692F"/>
    <w:rsid w:val="00857BAF"/>
    <w:rsid w:val="00857CAF"/>
    <w:rsid w:val="00860281"/>
    <w:rsid w:val="0086043C"/>
    <w:rsid w:val="00860570"/>
    <w:rsid w:val="00860C45"/>
    <w:rsid w:val="008617EF"/>
    <w:rsid w:val="00861A0B"/>
    <w:rsid w:val="00861BD1"/>
    <w:rsid w:val="00862370"/>
    <w:rsid w:val="008624F5"/>
    <w:rsid w:val="00862F99"/>
    <w:rsid w:val="00863618"/>
    <w:rsid w:val="00863776"/>
    <w:rsid w:val="00864EAC"/>
    <w:rsid w:val="00865270"/>
    <w:rsid w:val="008662D7"/>
    <w:rsid w:val="00866ACB"/>
    <w:rsid w:val="008703B1"/>
    <w:rsid w:val="00870D01"/>
    <w:rsid w:val="00870D1E"/>
    <w:rsid w:val="00870DBC"/>
    <w:rsid w:val="0087108E"/>
    <w:rsid w:val="00873B14"/>
    <w:rsid w:val="00873CE9"/>
    <w:rsid w:val="00873E2B"/>
    <w:rsid w:val="0087401C"/>
    <w:rsid w:val="00874377"/>
    <w:rsid w:val="00874591"/>
    <w:rsid w:val="00875825"/>
    <w:rsid w:val="00875B75"/>
    <w:rsid w:val="00875B7E"/>
    <w:rsid w:val="008807EA"/>
    <w:rsid w:val="008822D1"/>
    <w:rsid w:val="008823AA"/>
    <w:rsid w:val="008826D4"/>
    <w:rsid w:val="008826FD"/>
    <w:rsid w:val="0088303B"/>
    <w:rsid w:val="008832FE"/>
    <w:rsid w:val="00883361"/>
    <w:rsid w:val="00883418"/>
    <w:rsid w:val="00884460"/>
    <w:rsid w:val="00885029"/>
    <w:rsid w:val="00885157"/>
    <w:rsid w:val="00886958"/>
    <w:rsid w:val="008870B4"/>
    <w:rsid w:val="0088731D"/>
    <w:rsid w:val="00887444"/>
    <w:rsid w:val="00887729"/>
    <w:rsid w:val="008902F2"/>
    <w:rsid w:val="00891042"/>
    <w:rsid w:val="0089291B"/>
    <w:rsid w:val="00893043"/>
    <w:rsid w:val="00893AB9"/>
    <w:rsid w:val="008943ED"/>
    <w:rsid w:val="008957F1"/>
    <w:rsid w:val="00895A67"/>
    <w:rsid w:val="00896674"/>
    <w:rsid w:val="00897A1C"/>
    <w:rsid w:val="008A0935"/>
    <w:rsid w:val="008A1085"/>
    <w:rsid w:val="008A10B6"/>
    <w:rsid w:val="008A17ED"/>
    <w:rsid w:val="008A23D8"/>
    <w:rsid w:val="008A27A1"/>
    <w:rsid w:val="008A2868"/>
    <w:rsid w:val="008A2C2F"/>
    <w:rsid w:val="008A3748"/>
    <w:rsid w:val="008A4BAA"/>
    <w:rsid w:val="008A4C99"/>
    <w:rsid w:val="008A556E"/>
    <w:rsid w:val="008A63F2"/>
    <w:rsid w:val="008A7B5D"/>
    <w:rsid w:val="008A7F92"/>
    <w:rsid w:val="008B10D2"/>
    <w:rsid w:val="008B1602"/>
    <w:rsid w:val="008B16BD"/>
    <w:rsid w:val="008B1F22"/>
    <w:rsid w:val="008B2944"/>
    <w:rsid w:val="008B3F2D"/>
    <w:rsid w:val="008B43E5"/>
    <w:rsid w:val="008B452D"/>
    <w:rsid w:val="008B5038"/>
    <w:rsid w:val="008B50D9"/>
    <w:rsid w:val="008B7581"/>
    <w:rsid w:val="008B77D9"/>
    <w:rsid w:val="008C0AB9"/>
    <w:rsid w:val="008C0D0D"/>
    <w:rsid w:val="008C16EB"/>
    <w:rsid w:val="008C18EE"/>
    <w:rsid w:val="008C1B68"/>
    <w:rsid w:val="008C1B8E"/>
    <w:rsid w:val="008C3120"/>
    <w:rsid w:val="008C3166"/>
    <w:rsid w:val="008C3613"/>
    <w:rsid w:val="008C3769"/>
    <w:rsid w:val="008C3B9D"/>
    <w:rsid w:val="008C4342"/>
    <w:rsid w:val="008C45E2"/>
    <w:rsid w:val="008C4ADC"/>
    <w:rsid w:val="008C4C19"/>
    <w:rsid w:val="008C5985"/>
    <w:rsid w:val="008C5AA7"/>
    <w:rsid w:val="008C687C"/>
    <w:rsid w:val="008C6969"/>
    <w:rsid w:val="008C6BE8"/>
    <w:rsid w:val="008C78AC"/>
    <w:rsid w:val="008C7F28"/>
    <w:rsid w:val="008D1392"/>
    <w:rsid w:val="008D14FC"/>
    <w:rsid w:val="008D2654"/>
    <w:rsid w:val="008D3BBD"/>
    <w:rsid w:val="008D3E75"/>
    <w:rsid w:val="008D3FB5"/>
    <w:rsid w:val="008D43C6"/>
    <w:rsid w:val="008D4B0B"/>
    <w:rsid w:val="008D560E"/>
    <w:rsid w:val="008D562E"/>
    <w:rsid w:val="008D593E"/>
    <w:rsid w:val="008D77F3"/>
    <w:rsid w:val="008D7842"/>
    <w:rsid w:val="008E0477"/>
    <w:rsid w:val="008E0A9C"/>
    <w:rsid w:val="008E0C41"/>
    <w:rsid w:val="008E1167"/>
    <w:rsid w:val="008E1705"/>
    <w:rsid w:val="008E1B4A"/>
    <w:rsid w:val="008E1BE5"/>
    <w:rsid w:val="008E2115"/>
    <w:rsid w:val="008E36F8"/>
    <w:rsid w:val="008E3F0A"/>
    <w:rsid w:val="008E3F3A"/>
    <w:rsid w:val="008E4096"/>
    <w:rsid w:val="008E4BA5"/>
    <w:rsid w:val="008E5023"/>
    <w:rsid w:val="008E53DB"/>
    <w:rsid w:val="008E5445"/>
    <w:rsid w:val="008E57B4"/>
    <w:rsid w:val="008E62C2"/>
    <w:rsid w:val="008E6CA4"/>
    <w:rsid w:val="008E7B73"/>
    <w:rsid w:val="008E7E89"/>
    <w:rsid w:val="008F0115"/>
    <w:rsid w:val="008F02D9"/>
    <w:rsid w:val="008F0B6A"/>
    <w:rsid w:val="008F1076"/>
    <w:rsid w:val="008F2D2C"/>
    <w:rsid w:val="008F32FC"/>
    <w:rsid w:val="008F40DD"/>
    <w:rsid w:val="008F42AF"/>
    <w:rsid w:val="008F4584"/>
    <w:rsid w:val="008F4631"/>
    <w:rsid w:val="008F4901"/>
    <w:rsid w:val="008F5BBE"/>
    <w:rsid w:val="008F68EA"/>
    <w:rsid w:val="008F6C6A"/>
    <w:rsid w:val="008F7597"/>
    <w:rsid w:val="0090089E"/>
    <w:rsid w:val="00900B71"/>
    <w:rsid w:val="00900C0A"/>
    <w:rsid w:val="0090104B"/>
    <w:rsid w:val="009014C3"/>
    <w:rsid w:val="009016EB"/>
    <w:rsid w:val="00901710"/>
    <w:rsid w:val="00901A26"/>
    <w:rsid w:val="009022A9"/>
    <w:rsid w:val="00903D29"/>
    <w:rsid w:val="009047B0"/>
    <w:rsid w:val="0090527C"/>
    <w:rsid w:val="00906787"/>
    <w:rsid w:val="0090682E"/>
    <w:rsid w:val="00907821"/>
    <w:rsid w:val="009109D8"/>
    <w:rsid w:val="00911124"/>
    <w:rsid w:val="00911F7B"/>
    <w:rsid w:val="0091235B"/>
    <w:rsid w:val="00912C90"/>
    <w:rsid w:val="00912DDE"/>
    <w:rsid w:val="0091301C"/>
    <w:rsid w:val="009144A2"/>
    <w:rsid w:val="00914A5E"/>
    <w:rsid w:val="009151E2"/>
    <w:rsid w:val="0091556C"/>
    <w:rsid w:val="009159B6"/>
    <w:rsid w:val="00915A9B"/>
    <w:rsid w:val="00915BC3"/>
    <w:rsid w:val="00917AF6"/>
    <w:rsid w:val="00920012"/>
    <w:rsid w:val="00920233"/>
    <w:rsid w:val="0092034A"/>
    <w:rsid w:val="00920D25"/>
    <w:rsid w:val="009213FC"/>
    <w:rsid w:val="00923A5B"/>
    <w:rsid w:val="00923CE7"/>
    <w:rsid w:val="00924182"/>
    <w:rsid w:val="009244F6"/>
    <w:rsid w:val="00924C65"/>
    <w:rsid w:val="0092513E"/>
    <w:rsid w:val="009300C6"/>
    <w:rsid w:val="00930DD7"/>
    <w:rsid w:val="009312A8"/>
    <w:rsid w:val="00931693"/>
    <w:rsid w:val="00931708"/>
    <w:rsid w:val="00931950"/>
    <w:rsid w:val="009324CF"/>
    <w:rsid w:val="009324ED"/>
    <w:rsid w:val="00932604"/>
    <w:rsid w:val="009329BF"/>
    <w:rsid w:val="00933182"/>
    <w:rsid w:val="0093488B"/>
    <w:rsid w:val="009358E4"/>
    <w:rsid w:val="00935D41"/>
    <w:rsid w:val="00936164"/>
    <w:rsid w:val="00936E98"/>
    <w:rsid w:val="00937959"/>
    <w:rsid w:val="00937AAF"/>
    <w:rsid w:val="00940D53"/>
    <w:rsid w:val="00940D5E"/>
    <w:rsid w:val="00941588"/>
    <w:rsid w:val="00943162"/>
    <w:rsid w:val="0094350B"/>
    <w:rsid w:val="0094357C"/>
    <w:rsid w:val="009435C8"/>
    <w:rsid w:val="00943DA5"/>
    <w:rsid w:val="00945335"/>
    <w:rsid w:val="009453BA"/>
    <w:rsid w:val="009454BB"/>
    <w:rsid w:val="009466FB"/>
    <w:rsid w:val="00946CF5"/>
    <w:rsid w:val="009470A7"/>
    <w:rsid w:val="009476F1"/>
    <w:rsid w:val="00950772"/>
    <w:rsid w:val="00950945"/>
    <w:rsid w:val="00950994"/>
    <w:rsid w:val="00951362"/>
    <w:rsid w:val="009516BF"/>
    <w:rsid w:val="00951E6D"/>
    <w:rsid w:val="009528BF"/>
    <w:rsid w:val="00953962"/>
    <w:rsid w:val="0095488D"/>
    <w:rsid w:val="00954899"/>
    <w:rsid w:val="009549CD"/>
    <w:rsid w:val="00954B90"/>
    <w:rsid w:val="00955650"/>
    <w:rsid w:val="00955AAF"/>
    <w:rsid w:val="0095617B"/>
    <w:rsid w:val="009563E0"/>
    <w:rsid w:val="00960585"/>
    <w:rsid w:val="00960747"/>
    <w:rsid w:val="00961792"/>
    <w:rsid w:val="00961F26"/>
    <w:rsid w:val="009624A4"/>
    <w:rsid w:val="00962614"/>
    <w:rsid w:val="00962638"/>
    <w:rsid w:val="00962CCF"/>
    <w:rsid w:val="00963A68"/>
    <w:rsid w:val="0096431C"/>
    <w:rsid w:val="00964437"/>
    <w:rsid w:val="0096471A"/>
    <w:rsid w:val="00965230"/>
    <w:rsid w:val="00965EF8"/>
    <w:rsid w:val="00966652"/>
    <w:rsid w:val="00967849"/>
    <w:rsid w:val="00967C8C"/>
    <w:rsid w:val="009709AC"/>
    <w:rsid w:val="0097194C"/>
    <w:rsid w:val="00971A78"/>
    <w:rsid w:val="00971E2C"/>
    <w:rsid w:val="00971E30"/>
    <w:rsid w:val="0097221B"/>
    <w:rsid w:val="00972467"/>
    <w:rsid w:val="00972E5D"/>
    <w:rsid w:val="00973985"/>
    <w:rsid w:val="00973B69"/>
    <w:rsid w:val="0097435D"/>
    <w:rsid w:val="009750BB"/>
    <w:rsid w:val="009752A0"/>
    <w:rsid w:val="00975823"/>
    <w:rsid w:val="00975F63"/>
    <w:rsid w:val="009764CE"/>
    <w:rsid w:val="00976934"/>
    <w:rsid w:val="009773A3"/>
    <w:rsid w:val="009779E8"/>
    <w:rsid w:val="00981851"/>
    <w:rsid w:val="009823AE"/>
    <w:rsid w:val="009837C9"/>
    <w:rsid w:val="00983AD9"/>
    <w:rsid w:val="00983C49"/>
    <w:rsid w:val="00984EF2"/>
    <w:rsid w:val="00985053"/>
    <w:rsid w:val="00985649"/>
    <w:rsid w:val="009856D3"/>
    <w:rsid w:val="00985E2C"/>
    <w:rsid w:val="00986814"/>
    <w:rsid w:val="00986B16"/>
    <w:rsid w:val="00986C58"/>
    <w:rsid w:val="009905F7"/>
    <w:rsid w:val="00990953"/>
    <w:rsid w:val="00991E9D"/>
    <w:rsid w:val="00992977"/>
    <w:rsid w:val="00992A1B"/>
    <w:rsid w:val="00993D4C"/>
    <w:rsid w:val="00993FC9"/>
    <w:rsid w:val="00994492"/>
    <w:rsid w:val="0099450A"/>
    <w:rsid w:val="0099530D"/>
    <w:rsid w:val="009956F4"/>
    <w:rsid w:val="009958A1"/>
    <w:rsid w:val="00995D6A"/>
    <w:rsid w:val="00996244"/>
    <w:rsid w:val="00996AFB"/>
    <w:rsid w:val="00996B63"/>
    <w:rsid w:val="009A059F"/>
    <w:rsid w:val="009A0DF5"/>
    <w:rsid w:val="009A2467"/>
    <w:rsid w:val="009A38FA"/>
    <w:rsid w:val="009A3CF1"/>
    <w:rsid w:val="009A3D37"/>
    <w:rsid w:val="009A48F5"/>
    <w:rsid w:val="009A4A08"/>
    <w:rsid w:val="009A4A1A"/>
    <w:rsid w:val="009A4CF9"/>
    <w:rsid w:val="009A5B21"/>
    <w:rsid w:val="009A619E"/>
    <w:rsid w:val="009A6719"/>
    <w:rsid w:val="009A73C1"/>
    <w:rsid w:val="009B089D"/>
    <w:rsid w:val="009B1426"/>
    <w:rsid w:val="009B14C1"/>
    <w:rsid w:val="009B1A5E"/>
    <w:rsid w:val="009B1A95"/>
    <w:rsid w:val="009B30C2"/>
    <w:rsid w:val="009B3B91"/>
    <w:rsid w:val="009B3CBF"/>
    <w:rsid w:val="009B3D90"/>
    <w:rsid w:val="009B4713"/>
    <w:rsid w:val="009B54E9"/>
    <w:rsid w:val="009B5595"/>
    <w:rsid w:val="009B6088"/>
    <w:rsid w:val="009B6279"/>
    <w:rsid w:val="009B79BE"/>
    <w:rsid w:val="009B7B0D"/>
    <w:rsid w:val="009C0110"/>
    <w:rsid w:val="009C03A8"/>
    <w:rsid w:val="009C09A1"/>
    <w:rsid w:val="009C0C01"/>
    <w:rsid w:val="009C127E"/>
    <w:rsid w:val="009C16D2"/>
    <w:rsid w:val="009C33ED"/>
    <w:rsid w:val="009C3423"/>
    <w:rsid w:val="009C34A9"/>
    <w:rsid w:val="009C3561"/>
    <w:rsid w:val="009C38DA"/>
    <w:rsid w:val="009C4F81"/>
    <w:rsid w:val="009C52E2"/>
    <w:rsid w:val="009C5661"/>
    <w:rsid w:val="009C5DF6"/>
    <w:rsid w:val="009C63C8"/>
    <w:rsid w:val="009C759B"/>
    <w:rsid w:val="009C7941"/>
    <w:rsid w:val="009D0339"/>
    <w:rsid w:val="009D03E6"/>
    <w:rsid w:val="009D1291"/>
    <w:rsid w:val="009D1ACB"/>
    <w:rsid w:val="009D1C84"/>
    <w:rsid w:val="009D1EA5"/>
    <w:rsid w:val="009D2030"/>
    <w:rsid w:val="009D2580"/>
    <w:rsid w:val="009D3D14"/>
    <w:rsid w:val="009D44B8"/>
    <w:rsid w:val="009D5AE8"/>
    <w:rsid w:val="009D5B59"/>
    <w:rsid w:val="009D5EA1"/>
    <w:rsid w:val="009D628D"/>
    <w:rsid w:val="009D65BD"/>
    <w:rsid w:val="009D6816"/>
    <w:rsid w:val="009D792D"/>
    <w:rsid w:val="009D79C3"/>
    <w:rsid w:val="009E02DF"/>
    <w:rsid w:val="009E0CE1"/>
    <w:rsid w:val="009E4CD3"/>
    <w:rsid w:val="009E56B9"/>
    <w:rsid w:val="009E6400"/>
    <w:rsid w:val="009E6402"/>
    <w:rsid w:val="009E6A24"/>
    <w:rsid w:val="009E6DFF"/>
    <w:rsid w:val="009E73A2"/>
    <w:rsid w:val="009E76A8"/>
    <w:rsid w:val="009E78A5"/>
    <w:rsid w:val="009E7A4B"/>
    <w:rsid w:val="009E7B16"/>
    <w:rsid w:val="009F0770"/>
    <w:rsid w:val="009F07C2"/>
    <w:rsid w:val="009F0DEA"/>
    <w:rsid w:val="009F0DF2"/>
    <w:rsid w:val="009F0E22"/>
    <w:rsid w:val="009F1D31"/>
    <w:rsid w:val="009F1DE5"/>
    <w:rsid w:val="009F21D9"/>
    <w:rsid w:val="009F3B92"/>
    <w:rsid w:val="009F3FCE"/>
    <w:rsid w:val="009F5044"/>
    <w:rsid w:val="009F5C99"/>
    <w:rsid w:val="009F6152"/>
    <w:rsid w:val="009F7A00"/>
    <w:rsid w:val="009F7F3E"/>
    <w:rsid w:val="00A006C9"/>
    <w:rsid w:val="00A00BC4"/>
    <w:rsid w:val="00A01606"/>
    <w:rsid w:val="00A01972"/>
    <w:rsid w:val="00A01E26"/>
    <w:rsid w:val="00A0250E"/>
    <w:rsid w:val="00A026FC"/>
    <w:rsid w:val="00A02754"/>
    <w:rsid w:val="00A02CC2"/>
    <w:rsid w:val="00A030BF"/>
    <w:rsid w:val="00A0364F"/>
    <w:rsid w:val="00A04CAF"/>
    <w:rsid w:val="00A050E0"/>
    <w:rsid w:val="00A059A7"/>
    <w:rsid w:val="00A059DA"/>
    <w:rsid w:val="00A05B2D"/>
    <w:rsid w:val="00A05E70"/>
    <w:rsid w:val="00A05F09"/>
    <w:rsid w:val="00A063DB"/>
    <w:rsid w:val="00A100B5"/>
    <w:rsid w:val="00A10142"/>
    <w:rsid w:val="00A10914"/>
    <w:rsid w:val="00A11508"/>
    <w:rsid w:val="00A128D1"/>
    <w:rsid w:val="00A12A61"/>
    <w:rsid w:val="00A1345A"/>
    <w:rsid w:val="00A13A99"/>
    <w:rsid w:val="00A13F98"/>
    <w:rsid w:val="00A14454"/>
    <w:rsid w:val="00A14EDF"/>
    <w:rsid w:val="00A14F6D"/>
    <w:rsid w:val="00A151B9"/>
    <w:rsid w:val="00A155A8"/>
    <w:rsid w:val="00A1588E"/>
    <w:rsid w:val="00A1692E"/>
    <w:rsid w:val="00A16AB4"/>
    <w:rsid w:val="00A17165"/>
    <w:rsid w:val="00A173F5"/>
    <w:rsid w:val="00A17844"/>
    <w:rsid w:val="00A2012F"/>
    <w:rsid w:val="00A205C4"/>
    <w:rsid w:val="00A206C6"/>
    <w:rsid w:val="00A2099A"/>
    <w:rsid w:val="00A209F2"/>
    <w:rsid w:val="00A20D6A"/>
    <w:rsid w:val="00A20ECE"/>
    <w:rsid w:val="00A212F1"/>
    <w:rsid w:val="00A21856"/>
    <w:rsid w:val="00A2253A"/>
    <w:rsid w:val="00A22A2C"/>
    <w:rsid w:val="00A22B3F"/>
    <w:rsid w:val="00A23602"/>
    <w:rsid w:val="00A23A32"/>
    <w:rsid w:val="00A2486C"/>
    <w:rsid w:val="00A24E99"/>
    <w:rsid w:val="00A2556B"/>
    <w:rsid w:val="00A2580B"/>
    <w:rsid w:val="00A25880"/>
    <w:rsid w:val="00A25A26"/>
    <w:rsid w:val="00A25B1F"/>
    <w:rsid w:val="00A25C24"/>
    <w:rsid w:val="00A265F2"/>
    <w:rsid w:val="00A26C62"/>
    <w:rsid w:val="00A26F24"/>
    <w:rsid w:val="00A27909"/>
    <w:rsid w:val="00A27C91"/>
    <w:rsid w:val="00A304F2"/>
    <w:rsid w:val="00A30B66"/>
    <w:rsid w:val="00A30CFF"/>
    <w:rsid w:val="00A30F53"/>
    <w:rsid w:val="00A3136F"/>
    <w:rsid w:val="00A32496"/>
    <w:rsid w:val="00A3272D"/>
    <w:rsid w:val="00A330FE"/>
    <w:rsid w:val="00A33AFA"/>
    <w:rsid w:val="00A34239"/>
    <w:rsid w:val="00A3447A"/>
    <w:rsid w:val="00A34C82"/>
    <w:rsid w:val="00A35358"/>
    <w:rsid w:val="00A35539"/>
    <w:rsid w:val="00A3554D"/>
    <w:rsid w:val="00A36307"/>
    <w:rsid w:val="00A37033"/>
    <w:rsid w:val="00A37071"/>
    <w:rsid w:val="00A37314"/>
    <w:rsid w:val="00A37697"/>
    <w:rsid w:val="00A376FD"/>
    <w:rsid w:val="00A42013"/>
    <w:rsid w:val="00A42B00"/>
    <w:rsid w:val="00A46086"/>
    <w:rsid w:val="00A476EC"/>
    <w:rsid w:val="00A50348"/>
    <w:rsid w:val="00A50538"/>
    <w:rsid w:val="00A505D2"/>
    <w:rsid w:val="00A50863"/>
    <w:rsid w:val="00A50A3E"/>
    <w:rsid w:val="00A51682"/>
    <w:rsid w:val="00A52080"/>
    <w:rsid w:val="00A5373C"/>
    <w:rsid w:val="00A55EC4"/>
    <w:rsid w:val="00A56419"/>
    <w:rsid w:val="00A56A4F"/>
    <w:rsid w:val="00A602C1"/>
    <w:rsid w:val="00A61E0A"/>
    <w:rsid w:val="00A61F3E"/>
    <w:rsid w:val="00A62D3E"/>
    <w:rsid w:val="00A63504"/>
    <w:rsid w:val="00A64156"/>
    <w:rsid w:val="00A6544A"/>
    <w:rsid w:val="00A6596D"/>
    <w:rsid w:val="00A6605C"/>
    <w:rsid w:val="00A661C0"/>
    <w:rsid w:val="00A66564"/>
    <w:rsid w:val="00A716E8"/>
    <w:rsid w:val="00A72633"/>
    <w:rsid w:val="00A728E8"/>
    <w:rsid w:val="00A72B41"/>
    <w:rsid w:val="00A73026"/>
    <w:rsid w:val="00A75805"/>
    <w:rsid w:val="00A75B5B"/>
    <w:rsid w:val="00A75FD7"/>
    <w:rsid w:val="00A76A85"/>
    <w:rsid w:val="00A76E60"/>
    <w:rsid w:val="00A772F9"/>
    <w:rsid w:val="00A77447"/>
    <w:rsid w:val="00A77FCC"/>
    <w:rsid w:val="00A8061C"/>
    <w:rsid w:val="00A81678"/>
    <w:rsid w:val="00A816A6"/>
    <w:rsid w:val="00A81C20"/>
    <w:rsid w:val="00A82369"/>
    <w:rsid w:val="00A825D7"/>
    <w:rsid w:val="00A82664"/>
    <w:rsid w:val="00A834F7"/>
    <w:rsid w:val="00A8403B"/>
    <w:rsid w:val="00A84545"/>
    <w:rsid w:val="00A84555"/>
    <w:rsid w:val="00A8560B"/>
    <w:rsid w:val="00A858D8"/>
    <w:rsid w:val="00A8746D"/>
    <w:rsid w:val="00A874F7"/>
    <w:rsid w:val="00A90ABA"/>
    <w:rsid w:val="00A90F08"/>
    <w:rsid w:val="00A91107"/>
    <w:rsid w:val="00A911D5"/>
    <w:rsid w:val="00A91451"/>
    <w:rsid w:val="00A9153B"/>
    <w:rsid w:val="00A9228B"/>
    <w:rsid w:val="00A92649"/>
    <w:rsid w:val="00A92E8A"/>
    <w:rsid w:val="00A93CD5"/>
    <w:rsid w:val="00A9502B"/>
    <w:rsid w:val="00A96237"/>
    <w:rsid w:val="00A96248"/>
    <w:rsid w:val="00A96F77"/>
    <w:rsid w:val="00AA014E"/>
    <w:rsid w:val="00AA053B"/>
    <w:rsid w:val="00AA1405"/>
    <w:rsid w:val="00AA14B8"/>
    <w:rsid w:val="00AA1D66"/>
    <w:rsid w:val="00AA2124"/>
    <w:rsid w:val="00AA3152"/>
    <w:rsid w:val="00AA3B02"/>
    <w:rsid w:val="00AA4038"/>
    <w:rsid w:val="00AA4D9F"/>
    <w:rsid w:val="00AA54D8"/>
    <w:rsid w:val="00AA5511"/>
    <w:rsid w:val="00AA6FA2"/>
    <w:rsid w:val="00AB0260"/>
    <w:rsid w:val="00AB065C"/>
    <w:rsid w:val="00AB0BE8"/>
    <w:rsid w:val="00AB0C07"/>
    <w:rsid w:val="00AB11D6"/>
    <w:rsid w:val="00AB15F4"/>
    <w:rsid w:val="00AB161F"/>
    <w:rsid w:val="00AB1C33"/>
    <w:rsid w:val="00AB2DCC"/>
    <w:rsid w:val="00AB34D5"/>
    <w:rsid w:val="00AB351B"/>
    <w:rsid w:val="00AB3D31"/>
    <w:rsid w:val="00AB3FD3"/>
    <w:rsid w:val="00AB491C"/>
    <w:rsid w:val="00AB4E10"/>
    <w:rsid w:val="00AB6E19"/>
    <w:rsid w:val="00AB739F"/>
    <w:rsid w:val="00AB7981"/>
    <w:rsid w:val="00AC133D"/>
    <w:rsid w:val="00AC20BF"/>
    <w:rsid w:val="00AC3805"/>
    <w:rsid w:val="00AC3991"/>
    <w:rsid w:val="00AC5A29"/>
    <w:rsid w:val="00AC5FE9"/>
    <w:rsid w:val="00AC7979"/>
    <w:rsid w:val="00AD0420"/>
    <w:rsid w:val="00AD067A"/>
    <w:rsid w:val="00AD071D"/>
    <w:rsid w:val="00AD087B"/>
    <w:rsid w:val="00AD10D5"/>
    <w:rsid w:val="00AD16AD"/>
    <w:rsid w:val="00AD2758"/>
    <w:rsid w:val="00AD3E8F"/>
    <w:rsid w:val="00AD4C00"/>
    <w:rsid w:val="00AD5876"/>
    <w:rsid w:val="00AD623D"/>
    <w:rsid w:val="00AD70D6"/>
    <w:rsid w:val="00AD7367"/>
    <w:rsid w:val="00AE0063"/>
    <w:rsid w:val="00AE0429"/>
    <w:rsid w:val="00AE05E0"/>
    <w:rsid w:val="00AE15CE"/>
    <w:rsid w:val="00AE18A3"/>
    <w:rsid w:val="00AE1BD8"/>
    <w:rsid w:val="00AE2BA6"/>
    <w:rsid w:val="00AE32BE"/>
    <w:rsid w:val="00AE3430"/>
    <w:rsid w:val="00AE36FF"/>
    <w:rsid w:val="00AE395F"/>
    <w:rsid w:val="00AE3E06"/>
    <w:rsid w:val="00AE63F8"/>
    <w:rsid w:val="00AE7144"/>
    <w:rsid w:val="00AE7170"/>
    <w:rsid w:val="00AE73CE"/>
    <w:rsid w:val="00AF04AF"/>
    <w:rsid w:val="00AF069D"/>
    <w:rsid w:val="00AF0AAD"/>
    <w:rsid w:val="00AF0D78"/>
    <w:rsid w:val="00AF1149"/>
    <w:rsid w:val="00AF1906"/>
    <w:rsid w:val="00AF1E49"/>
    <w:rsid w:val="00AF34E6"/>
    <w:rsid w:val="00AF38AA"/>
    <w:rsid w:val="00AF43BB"/>
    <w:rsid w:val="00AF4A08"/>
    <w:rsid w:val="00AF4B37"/>
    <w:rsid w:val="00AF5070"/>
    <w:rsid w:val="00AF51FB"/>
    <w:rsid w:val="00AF557C"/>
    <w:rsid w:val="00AF5DA6"/>
    <w:rsid w:val="00AF5F01"/>
    <w:rsid w:val="00AF6848"/>
    <w:rsid w:val="00AF6856"/>
    <w:rsid w:val="00AF6F3F"/>
    <w:rsid w:val="00AF739E"/>
    <w:rsid w:val="00B017CF"/>
    <w:rsid w:val="00B01AA5"/>
    <w:rsid w:val="00B045FF"/>
    <w:rsid w:val="00B0481E"/>
    <w:rsid w:val="00B04C58"/>
    <w:rsid w:val="00B052EB"/>
    <w:rsid w:val="00B057C5"/>
    <w:rsid w:val="00B058F1"/>
    <w:rsid w:val="00B074C5"/>
    <w:rsid w:val="00B105B3"/>
    <w:rsid w:val="00B110FC"/>
    <w:rsid w:val="00B117B7"/>
    <w:rsid w:val="00B12150"/>
    <w:rsid w:val="00B1246C"/>
    <w:rsid w:val="00B12987"/>
    <w:rsid w:val="00B13FA7"/>
    <w:rsid w:val="00B146EA"/>
    <w:rsid w:val="00B15699"/>
    <w:rsid w:val="00B15DBC"/>
    <w:rsid w:val="00B16540"/>
    <w:rsid w:val="00B16BA4"/>
    <w:rsid w:val="00B16FA3"/>
    <w:rsid w:val="00B17E45"/>
    <w:rsid w:val="00B204F2"/>
    <w:rsid w:val="00B20876"/>
    <w:rsid w:val="00B20891"/>
    <w:rsid w:val="00B218A3"/>
    <w:rsid w:val="00B223E2"/>
    <w:rsid w:val="00B22F8D"/>
    <w:rsid w:val="00B23338"/>
    <w:rsid w:val="00B24023"/>
    <w:rsid w:val="00B250E4"/>
    <w:rsid w:val="00B25436"/>
    <w:rsid w:val="00B2545F"/>
    <w:rsid w:val="00B258D5"/>
    <w:rsid w:val="00B260E8"/>
    <w:rsid w:val="00B26476"/>
    <w:rsid w:val="00B266AB"/>
    <w:rsid w:val="00B2679C"/>
    <w:rsid w:val="00B26908"/>
    <w:rsid w:val="00B26C21"/>
    <w:rsid w:val="00B26EC3"/>
    <w:rsid w:val="00B26F38"/>
    <w:rsid w:val="00B27582"/>
    <w:rsid w:val="00B27AC1"/>
    <w:rsid w:val="00B27BDC"/>
    <w:rsid w:val="00B3047E"/>
    <w:rsid w:val="00B329F5"/>
    <w:rsid w:val="00B340CB"/>
    <w:rsid w:val="00B34361"/>
    <w:rsid w:val="00B34CC1"/>
    <w:rsid w:val="00B34F99"/>
    <w:rsid w:val="00B35603"/>
    <w:rsid w:val="00B35841"/>
    <w:rsid w:val="00B361B9"/>
    <w:rsid w:val="00B36231"/>
    <w:rsid w:val="00B367A3"/>
    <w:rsid w:val="00B36E22"/>
    <w:rsid w:val="00B402E6"/>
    <w:rsid w:val="00B41290"/>
    <w:rsid w:val="00B41E0D"/>
    <w:rsid w:val="00B420E4"/>
    <w:rsid w:val="00B43CDE"/>
    <w:rsid w:val="00B43E1B"/>
    <w:rsid w:val="00B441BD"/>
    <w:rsid w:val="00B44570"/>
    <w:rsid w:val="00B44653"/>
    <w:rsid w:val="00B4550C"/>
    <w:rsid w:val="00B45669"/>
    <w:rsid w:val="00B45EDE"/>
    <w:rsid w:val="00B503F3"/>
    <w:rsid w:val="00B50DCF"/>
    <w:rsid w:val="00B52EA7"/>
    <w:rsid w:val="00B52F42"/>
    <w:rsid w:val="00B53341"/>
    <w:rsid w:val="00B54329"/>
    <w:rsid w:val="00B5469D"/>
    <w:rsid w:val="00B55089"/>
    <w:rsid w:val="00B5619C"/>
    <w:rsid w:val="00B563B8"/>
    <w:rsid w:val="00B56D44"/>
    <w:rsid w:val="00B577E0"/>
    <w:rsid w:val="00B57EF1"/>
    <w:rsid w:val="00B60665"/>
    <w:rsid w:val="00B60CF0"/>
    <w:rsid w:val="00B60DF5"/>
    <w:rsid w:val="00B61321"/>
    <w:rsid w:val="00B6206F"/>
    <w:rsid w:val="00B63F02"/>
    <w:rsid w:val="00B64424"/>
    <w:rsid w:val="00B6448E"/>
    <w:rsid w:val="00B646F4"/>
    <w:rsid w:val="00B656FF"/>
    <w:rsid w:val="00B65AFA"/>
    <w:rsid w:val="00B65B49"/>
    <w:rsid w:val="00B671B6"/>
    <w:rsid w:val="00B67B07"/>
    <w:rsid w:val="00B67F18"/>
    <w:rsid w:val="00B70327"/>
    <w:rsid w:val="00B706CC"/>
    <w:rsid w:val="00B7099A"/>
    <w:rsid w:val="00B7137E"/>
    <w:rsid w:val="00B713FA"/>
    <w:rsid w:val="00B71C38"/>
    <w:rsid w:val="00B721B3"/>
    <w:rsid w:val="00B72749"/>
    <w:rsid w:val="00B72DBE"/>
    <w:rsid w:val="00B73A2E"/>
    <w:rsid w:val="00B73D38"/>
    <w:rsid w:val="00B7417E"/>
    <w:rsid w:val="00B747F9"/>
    <w:rsid w:val="00B7493D"/>
    <w:rsid w:val="00B74A00"/>
    <w:rsid w:val="00B74A6A"/>
    <w:rsid w:val="00B75245"/>
    <w:rsid w:val="00B75DBE"/>
    <w:rsid w:val="00B762ED"/>
    <w:rsid w:val="00B76652"/>
    <w:rsid w:val="00B76D82"/>
    <w:rsid w:val="00B777FB"/>
    <w:rsid w:val="00B81BBA"/>
    <w:rsid w:val="00B8203D"/>
    <w:rsid w:val="00B824B8"/>
    <w:rsid w:val="00B82782"/>
    <w:rsid w:val="00B8308B"/>
    <w:rsid w:val="00B83EA3"/>
    <w:rsid w:val="00B84A92"/>
    <w:rsid w:val="00B85D24"/>
    <w:rsid w:val="00B862F0"/>
    <w:rsid w:val="00B8778E"/>
    <w:rsid w:val="00B9034F"/>
    <w:rsid w:val="00B914A0"/>
    <w:rsid w:val="00B91703"/>
    <w:rsid w:val="00B9276D"/>
    <w:rsid w:val="00B9294D"/>
    <w:rsid w:val="00B93291"/>
    <w:rsid w:val="00B935C2"/>
    <w:rsid w:val="00B940B1"/>
    <w:rsid w:val="00B9460B"/>
    <w:rsid w:val="00B94976"/>
    <w:rsid w:val="00B94B1A"/>
    <w:rsid w:val="00B94F9E"/>
    <w:rsid w:val="00B95103"/>
    <w:rsid w:val="00B9584B"/>
    <w:rsid w:val="00B95C3E"/>
    <w:rsid w:val="00B95C76"/>
    <w:rsid w:val="00B96028"/>
    <w:rsid w:val="00B96B32"/>
    <w:rsid w:val="00B972D6"/>
    <w:rsid w:val="00BA0148"/>
    <w:rsid w:val="00BA0EB0"/>
    <w:rsid w:val="00BA13AA"/>
    <w:rsid w:val="00BA1BE6"/>
    <w:rsid w:val="00BA23B7"/>
    <w:rsid w:val="00BA2940"/>
    <w:rsid w:val="00BA2F5A"/>
    <w:rsid w:val="00BA3871"/>
    <w:rsid w:val="00BA38A1"/>
    <w:rsid w:val="00BA38A5"/>
    <w:rsid w:val="00BA4F93"/>
    <w:rsid w:val="00BA5853"/>
    <w:rsid w:val="00BA5E94"/>
    <w:rsid w:val="00BA635A"/>
    <w:rsid w:val="00BA6F0D"/>
    <w:rsid w:val="00BA7F7E"/>
    <w:rsid w:val="00BB0142"/>
    <w:rsid w:val="00BB01F2"/>
    <w:rsid w:val="00BB0D7F"/>
    <w:rsid w:val="00BB1A7C"/>
    <w:rsid w:val="00BB3110"/>
    <w:rsid w:val="00BB5075"/>
    <w:rsid w:val="00BB5116"/>
    <w:rsid w:val="00BB690A"/>
    <w:rsid w:val="00BB69B4"/>
    <w:rsid w:val="00BB6BE7"/>
    <w:rsid w:val="00BB7718"/>
    <w:rsid w:val="00BC0468"/>
    <w:rsid w:val="00BC10A4"/>
    <w:rsid w:val="00BC13E3"/>
    <w:rsid w:val="00BC15B3"/>
    <w:rsid w:val="00BC1EC6"/>
    <w:rsid w:val="00BC32CB"/>
    <w:rsid w:val="00BC3337"/>
    <w:rsid w:val="00BC348E"/>
    <w:rsid w:val="00BC35C9"/>
    <w:rsid w:val="00BC4515"/>
    <w:rsid w:val="00BC5E0F"/>
    <w:rsid w:val="00BC7DE4"/>
    <w:rsid w:val="00BC7F1E"/>
    <w:rsid w:val="00BD0019"/>
    <w:rsid w:val="00BD0949"/>
    <w:rsid w:val="00BD0A5B"/>
    <w:rsid w:val="00BD1EDD"/>
    <w:rsid w:val="00BD1FB1"/>
    <w:rsid w:val="00BD22B4"/>
    <w:rsid w:val="00BD2D1C"/>
    <w:rsid w:val="00BD2E8B"/>
    <w:rsid w:val="00BD4990"/>
    <w:rsid w:val="00BD565C"/>
    <w:rsid w:val="00BD58CE"/>
    <w:rsid w:val="00BD725B"/>
    <w:rsid w:val="00BD791C"/>
    <w:rsid w:val="00BD7F48"/>
    <w:rsid w:val="00BE0544"/>
    <w:rsid w:val="00BE0876"/>
    <w:rsid w:val="00BE0C61"/>
    <w:rsid w:val="00BE1054"/>
    <w:rsid w:val="00BE16AB"/>
    <w:rsid w:val="00BE17F0"/>
    <w:rsid w:val="00BE1F91"/>
    <w:rsid w:val="00BE44DF"/>
    <w:rsid w:val="00BE4B7B"/>
    <w:rsid w:val="00BE5C43"/>
    <w:rsid w:val="00BE5CC0"/>
    <w:rsid w:val="00BE700E"/>
    <w:rsid w:val="00BE7074"/>
    <w:rsid w:val="00BE7D61"/>
    <w:rsid w:val="00BF1207"/>
    <w:rsid w:val="00BF1D87"/>
    <w:rsid w:val="00BF279A"/>
    <w:rsid w:val="00BF2F57"/>
    <w:rsid w:val="00BF3465"/>
    <w:rsid w:val="00BF3B7D"/>
    <w:rsid w:val="00BF41E7"/>
    <w:rsid w:val="00BF4843"/>
    <w:rsid w:val="00BF5DB1"/>
    <w:rsid w:val="00BF7A3E"/>
    <w:rsid w:val="00BF7E1F"/>
    <w:rsid w:val="00C01010"/>
    <w:rsid w:val="00C0110D"/>
    <w:rsid w:val="00C016B2"/>
    <w:rsid w:val="00C023EE"/>
    <w:rsid w:val="00C02B18"/>
    <w:rsid w:val="00C0327C"/>
    <w:rsid w:val="00C03ACA"/>
    <w:rsid w:val="00C03ACC"/>
    <w:rsid w:val="00C03D84"/>
    <w:rsid w:val="00C04130"/>
    <w:rsid w:val="00C051F5"/>
    <w:rsid w:val="00C052F8"/>
    <w:rsid w:val="00C05673"/>
    <w:rsid w:val="00C0636F"/>
    <w:rsid w:val="00C0640D"/>
    <w:rsid w:val="00C07259"/>
    <w:rsid w:val="00C07DE8"/>
    <w:rsid w:val="00C1063E"/>
    <w:rsid w:val="00C10863"/>
    <w:rsid w:val="00C10D7F"/>
    <w:rsid w:val="00C11E53"/>
    <w:rsid w:val="00C12033"/>
    <w:rsid w:val="00C1244F"/>
    <w:rsid w:val="00C127D9"/>
    <w:rsid w:val="00C12B04"/>
    <w:rsid w:val="00C131E6"/>
    <w:rsid w:val="00C13393"/>
    <w:rsid w:val="00C13667"/>
    <w:rsid w:val="00C138A7"/>
    <w:rsid w:val="00C1424A"/>
    <w:rsid w:val="00C144DF"/>
    <w:rsid w:val="00C158AD"/>
    <w:rsid w:val="00C15C22"/>
    <w:rsid w:val="00C15C3E"/>
    <w:rsid w:val="00C15C5D"/>
    <w:rsid w:val="00C15FDC"/>
    <w:rsid w:val="00C1662E"/>
    <w:rsid w:val="00C17299"/>
    <w:rsid w:val="00C17778"/>
    <w:rsid w:val="00C178E1"/>
    <w:rsid w:val="00C20A25"/>
    <w:rsid w:val="00C20C6E"/>
    <w:rsid w:val="00C2150C"/>
    <w:rsid w:val="00C21D77"/>
    <w:rsid w:val="00C22662"/>
    <w:rsid w:val="00C22A7B"/>
    <w:rsid w:val="00C22D8B"/>
    <w:rsid w:val="00C23772"/>
    <w:rsid w:val="00C23851"/>
    <w:rsid w:val="00C24755"/>
    <w:rsid w:val="00C250A2"/>
    <w:rsid w:val="00C26286"/>
    <w:rsid w:val="00C26503"/>
    <w:rsid w:val="00C266B1"/>
    <w:rsid w:val="00C26D89"/>
    <w:rsid w:val="00C3003B"/>
    <w:rsid w:val="00C3009F"/>
    <w:rsid w:val="00C304D5"/>
    <w:rsid w:val="00C3275E"/>
    <w:rsid w:val="00C32791"/>
    <w:rsid w:val="00C327FB"/>
    <w:rsid w:val="00C32CD7"/>
    <w:rsid w:val="00C3301E"/>
    <w:rsid w:val="00C33AEB"/>
    <w:rsid w:val="00C33C47"/>
    <w:rsid w:val="00C33E7E"/>
    <w:rsid w:val="00C34521"/>
    <w:rsid w:val="00C347D1"/>
    <w:rsid w:val="00C349E5"/>
    <w:rsid w:val="00C36CCB"/>
    <w:rsid w:val="00C36D55"/>
    <w:rsid w:val="00C372D2"/>
    <w:rsid w:val="00C3756F"/>
    <w:rsid w:val="00C37661"/>
    <w:rsid w:val="00C37F01"/>
    <w:rsid w:val="00C40433"/>
    <w:rsid w:val="00C41194"/>
    <w:rsid w:val="00C4164C"/>
    <w:rsid w:val="00C42020"/>
    <w:rsid w:val="00C428B7"/>
    <w:rsid w:val="00C42D14"/>
    <w:rsid w:val="00C4300C"/>
    <w:rsid w:val="00C432A5"/>
    <w:rsid w:val="00C43B6D"/>
    <w:rsid w:val="00C43BE6"/>
    <w:rsid w:val="00C451DB"/>
    <w:rsid w:val="00C47618"/>
    <w:rsid w:val="00C47649"/>
    <w:rsid w:val="00C47AA6"/>
    <w:rsid w:val="00C47FF8"/>
    <w:rsid w:val="00C50606"/>
    <w:rsid w:val="00C51606"/>
    <w:rsid w:val="00C51D91"/>
    <w:rsid w:val="00C52B83"/>
    <w:rsid w:val="00C52FAB"/>
    <w:rsid w:val="00C537C8"/>
    <w:rsid w:val="00C53F12"/>
    <w:rsid w:val="00C54BF8"/>
    <w:rsid w:val="00C55F25"/>
    <w:rsid w:val="00C56196"/>
    <w:rsid w:val="00C56225"/>
    <w:rsid w:val="00C56FB1"/>
    <w:rsid w:val="00C5755C"/>
    <w:rsid w:val="00C57A21"/>
    <w:rsid w:val="00C60CAC"/>
    <w:rsid w:val="00C60E3A"/>
    <w:rsid w:val="00C62F37"/>
    <w:rsid w:val="00C633F5"/>
    <w:rsid w:val="00C635B6"/>
    <w:rsid w:val="00C63A6E"/>
    <w:rsid w:val="00C64737"/>
    <w:rsid w:val="00C658C1"/>
    <w:rsid w:val="00C6657C"/>
    <w:rsid w:val="00C6696D"/>
    <w:rsid w:val="00C66EE5"/>
    <w:rsid w:val="00C674F9"/>
    <w:rsid w:val="00C676D2"/>
    <w:rsid w:val="00C67A9A"/>
    <w:rsid w:val="00C700B9"/>
    <w:rsid w:val="00C70315"/>
    <w:rsid w:val="00C70589"/>
    <w:rsid w:val="00C708E5"/>
    <w:rsid w:val="00C70D01"/>
    <w:rsid w:val="00C71C70"/>
    <w:rsid w:val="00C72D3A"/>
    <w:rsid w:val="00C72F6A"/>
    <w:rsid w:val="00C7369C"/>
    <w:rsid w:val="00C74C8D"/>
    <w:rsid w:val="00C74F6A"/>
    <w:rsid w:val="00C77D1F"/>
    <w:rsid w:val="00C80192"/>
    <w:rsid w:val="00C80DAD"/>
    <w:rsid w:val="00C812B7"/>
    <w:rsid w:val="00C817B8"/>
    <w:rsid w:val="00C82BCB"/>
    <w:rsid w:val="00C838CC"/>
    <w:rsid w:val="00C83CF3"/>
    <w:rsid w:val="00C860F4"/>
    <w:rsid w:val="00C86FC9"/>
    <w:rsid w:val="00C87CE6"/>
    <w:rsid w:val="00C90245"/>
    <w:rsid w:val="00C9087E"/>
    <w:rsid w:val="00C911A5"/>
    <w:rsid w:val="00C913E4"/>
    <w:rsid w:val="00C91418"/>
    <w:rsid w:val="00C9145D"/>
    <w:rsid w:val="00C91647"/>
    <w:rsid w:val="00C91D4B"/>
    <w:rsid w:val="00C92049"/>
    <w:rsid w:val="00C92580"/>
    <w:rsid w:val="00C92CAD"/>
    <w:rsid w:val="00C93455"/>
    <w:rsid w:val="00C956FE"/>
    <w:rsid w:val="00C95D43"/>
    <w:rsid w:val="00C96E1B"/>
    <w:rsid w:val="00C9738A"/>
    <w:rsid w:val="00C9792A"/>
    <w:rsid w:val="00C97C90"/>
    <w:rsid w:val="00C97CC5"/>
    <w:rsid w:val="00C97E7F"/>
    <w:rsid w:val="00C97FA1"/>
    <w:rsid w:val="00CA0F88"/>
    <w:rsid w:val="00CA11AF"/>
    <w:rsid w:val="00CA1579"/>
    <w:rsid w:val="00CA1E4E"/>
    <w:rsid w:val="00CA2AD6"/>
    <w:rsid w:val="00CA3417"/>
    <w:rsid w:val="00CA3709"/>
    <w:rsid w:val="00CA3C4F"/>
    <w:rsid w:val="00CA41E9"/>
    <w:rsid w:val="00CA4A52"/>
    <w:rsid w:val="00CA5A71"/>
    <w:rsid w:val="00CA5EB4"/>
    <w:rsid w:val="00CA5F32"/>
    <w:rsid w:val="00CA5FC4"/>
    <w:rsid w:val="00CA62E3"/>
    <w:rsid w:val="00CA64E9"/>
    <w:rsid w:val="00CA6AEB"/>
    <w:rsid w:val="00CA7496"/>
    <w:rsid w:val="00CA7C85"/>
    <w:rsid w:val="00CB0547"/>
    <w:rsid w:val="00CB0F7D"/>
    <w:rsid w:val="00CB19FE"/>
    <w:rsid w:val="00CB1C6E"/>
    <w:rsid w:val="00CB1D76"/>
    <w:rsid w:val="00CB362D"/>
    <w:rsid w:val="00CB432E"/>
    <w:rsid w:val="00CB4B33"/>
    <w:rsid w:val="00CB4C5E"/>
    <w:rsid w:val="00CB5992"/>
    <w:rsid w:val="00CB5F42"/>
    <w:rsid w:val="00CB688D"/>
    <w:rsid w:val="00CB6E0C"/>
    <w:rsid w:val="00CC0026"/>
    <w:rsid w:val="00CC0645"/>
    <w:rsid w:val="00CC0781"/>
    <w:rsid w:val="00CC09AD"/>
    <w:rsid w:val="00CC175F"/>
    <w:rsid w:val="00CC1EDC"/>
    <w:rsid w:val="00CC2143"/>
    <w:rsid w:val="00CC2494"/>
    <w:rsid w:val="00CC2ACB"/>
    <w:rsid w:val="00CC2AEF"/>
    <w:rsid w:val="00CC2B49"/>
    <w:rsid w:val="00CC3BD6"/>
    <w:rsid w:val="00CC4047"/>
    <w:rsid w:val="00CC5098"/>
    <w:rsid w:val="00CC52B1"/>
    <w:rsid w:val="00CC5373"/>
    <w:rsid w:val="00CC54E6"/>
    <w:rsid w:val="00CC644A"/>
    <w:rsid w:val="00CC6A43"/>
    <w:rsid w:val="00CC6B4F"/>
    <w:rsid w:val="00CC7880"/>
    <w:rsid w:val="00CC7DD6"/>
    <w:rsid w:val="00CD05FA"/>
    <w:rsid w:val="00CD092E"/>
    <w:rsid w:val="00CD0BD1"/>
    <w:rsid w:val="00CD0D7B"/>
    <w:rsid w:val="00CD1097"/>
    <w:rsid w:val="00CD1B5D"/>
    <w:rsid w:val="00CD2AF4"/>
    <w:rsid w:val="00CD2F79"/>
    <w:rsid w:val="00CD3435"/>
    <w:rsid w:val="00CD3526"/>
    <w:rsid w:val="00CD57C7"/>
    <w:rsid w:val="00CD5F2F"/>
    <w:rsid w:val="00CD64A4"/>
    <w:rsid w:val="00CD7CEB"/>
    <w:rsid w:val="00CE01F7"/>
    <w:rsid w:val="00CE02BD"/>
    <w:rsid w:val="00CE144B"/>
    <w:rsid w:val="00CE1EA7"/>
    <w:rsid w:val="00CE20E6"/>
    <w:rsid w:val="00CE21FA"/>
    <w:rsid w:val="00CE252B"/>
    <w:rsid w:val="00CE282F"/>
    <w:rsid w:val="00CE2881"/>
    <w:rsid w:val="00CE2BE9"/>
    <w:rsid w:val="00CE2D1D"/>
    <w:rsid w:val="00CE46D6"/>
    <w:rsid w:val="00CE51BA"/>
    <w:rsid w:val="00CE546E"/>
    <w:rsid w:val="00CE62FE"/>
    <w:rsid w:val="00CE65BF"/>
    <w:rsid w:val="00CE6B03"/>
    <w:rsid w:val="00CE6F62"/>
    <w:rsid w:val="00CE7AB3"/>
    <w:rsid w:val="00CE7FF9"/>
    <w:rsid w:val="00CF17F0"/>
    <w:rsid w:val="00CF21E4"/>
    <w:rsid w:val="00CF23E9"/>
    <w:rsid w:val="00CF301C"/>
    <w:rsid w:val="00CF3274"/>
    <w:rsid w:val="00CF3296"/>
    <w:rsid w:val="00CF3567"/>
    <w:rsid w:val="00CF5093"/>
    <w:rsid w:val="00CF50CC"/>
    <w:rsid w:val="00CF6099"/>
    <w:rsid w:val="00CF6217"/>
    <w:rsid w:val="00CF6BB3"/>
    <w:rsid w:val="00CF7CC7"/>
    <w:rsid w:val="00D011A8"/>
    <w:rsid w:val="00D01C54"/>
    <w:rsid w:val="00D01EA2"/>
    <w:rsid w:val="00D01F96"/>
    <w:rsid w:val="00D031FD"/>
    <w:rsid w:val="00D03377"/>
    <w:rsid w:val="00D055EC"/>
    <w:rsid w:val="00D05720"/>
    <w:rsid w:val="00D0578B"/>
    <w:rsid w:val="00D07441"/>
    <w:rsid w:val="00D076D8"/>
    <w:rsid w:val="00D07975"/>
    <w:rsid w:val="00D07C94"/>
    <w:rsid w:val="00D104B5"/>
    <w:rsid w:val="00D10B5D"/>
    <w:rsid w:val="00D10C32"/>
    <w:rsid w:val="00D10C41"/>
    <w:rsid w:val="00D11695"/>
    <w:rsid w:val="00D11E99"/>
    <w:rsid w:val="00D128F1"/>
    <w:rsid w:val="00D12E39"/>
    <w:rsid w:val="00D13209"/>
    <w:rsid w:val="00D159CF"/>
    <w:rsid w:val="00D16167"/>
    <w:rsid w:val="00D16461"/>
    <w:rsid w:val="00D16A13"/>
    <w:rsid w:val="00D17971"/>
    <w:rsid w:val="00D17B25"/>
    <w:rsid w:val="00D20CF6"/>
    <w:rsid w:val="00D21296"/>
    <w:rsid w:val="00D21384"/>
    <w:rsid w:val="00D21F62"/>
    <w:rsid w:val="00D22BFF"/>
    <w:rsid w:val="00D23121"/>
    <w:rsid w:val="00D24B99"/>
    <w:rsid w:val="00D25356"/>
    <w:rsid w:val="00D257BF"/>
    <w:rsid w:val="00D26C9F"/>
    <w:rsid w:val="00D30715"/>
    <w:rsid w:val="00D30A17"/>
    <w:rsid w:val="00D31163"/>
    <w:rsid w:val="00D31748"/>
    <w:rsid w:val="00D319D7"/>
    <w:rsid w:val="00D32AD4"/>
    <w:rsid w:val="00D32E80"/>
    <w:rsid w:val="00D33082"/>
    <w:rsid w:val="00D33A89"/>
    <w:rsid w:val="00D33B98"/>
    <w:rsid w:val="00D344A2"/>
    <w:rsid w:val="00D34722"/>
    <w:rsid w:val="00D348BE"/>
    <w:rsid w:val="00D3523C"/>
    <w:rsid w:val="00D36F97"/>
    <w:rsid w:val="00D3773E"/>
    <w:rsid w:val="00D37C0A"/>
    <w:rsid w:val="00D41497"/>
    <w:rsid w:val="00D428F4"/>
    <w:rsid w:val="00D42C82"/>
    <w:rsid w:val="00D437F5"/>
    <w:rsid w:val="00D4385C"/>
    <w:rsid w:val="00D448EE"/>
    <w:rsid w:val="00D4503D"/>
    <w:rsid w:val="00D451C6"/>
    <w:rsid w:val="00D45912"/>
    <w:rsid w:val="00D4595F"/>
    <w:rsid w:val="00D45E4A"/>
    <w:rsid w:val="00D47332"/>
    <w:rsid w:val="00D474F5"/>
    <w:rsid w:val="00D4772A"/>
    <w:rsid w:val="00D477E1"/>
    <w:rsid w:val="00D51973"/>
    <w:rsid w:val="00D528FD"/>
    <w:rsid w:val="00D53978"/>
    <w:rsid w:val="00D53EA3"/>
    <w:rsid w:val="00D54FA0"/>
    <w:rsid w:val="00D5514B"/>
    <w:rsid w:val="00D553C1"/>
    <w:rsid w:val="00D55928"/>
    <w:rsid w:val="00D55C59"/>
    <w:rsid w:val="00D55E84"/>
    <w:rsid w:val="00D5762E"/>
    <w:rsid w:val="00D60C33"/>
    <w:rsid w:val="00D6138E"/>
    <w:rsid w:val="00D616AD"/>
    <w:rsid w:val="00D61815"/>
    <w:rsid w:val="00D619E1"/>
    <w:rsid w:val="00D62B4D"/>
    <w:rsid w:val="00D6339E"/>
    <w:rsid w:val="00D64017"/>
    <w:rsid w:val="00D64432"/>
    <w:rsid w:val="00D6495A"/>
    <w:rsid w:val="00D64F9F"/>
    <w:rsid w:val="00D65A50"/>
    <w:rsid w:val="00D6667D"/>
    <w:rsid w:val="00D66ACD"/>
    <w:rsid w:val="00D673B7"/>
    <w:rsid w:val="00D67506"/>
    <w:rsid w:val="00D70086"/>
    <w:rsid w:val="00D7010A"/>
    <w:rsid w:val="00D71167"/>
    <w:rsid w:val="00D71533"/>
    <w:rsid w:val="00D72285"/>
    <w:rsid w:val="00D724DA"/>
    <w:rsid w:val="00D73279"/>
    <w:rsid w:val="00D7382C"/>
    <w:rsid w:val="00D738C0"/>
    <w:rsid w:val="00D73E87"/>
    <w:rsid w:val="00D7484F"/>
    <w:rsid w:val="00D74C9E"/>
    <w:rsid w:val="00D75300"/>
    <w:rsid w:val="00D7531E"/>
    <w:rsid w:val="00D75685"/>
    <w:rsid w:val="00D75A51"/>
    <w:rsid w:val="00D75F56"/>
    <w:rsid w:val="00D76054"/>
    <w:rsid w:val="00D776AE"/>
    <w:rsid w:val="00D80B83"/>
    <w:rsid w:val="00D817F7"/>
    <w:rsid w:val="00D830CC"/>
    <w:rsid w:val="00D84827"/>
    <w:rsid w:val="00D864C3"/>
    <w:rsid w:val="00D873D3"/>
    <w:rsid w:val="00D87D09"/>
    <w:rsid w:val="00D87EDC"/>
    <w:rsid w:val="00D90EC0"/>
    <w:rsid w:val="00D9124A"/>
    <w:rsid w:val="00D91508"/>
    <w:rsid w:val="00D91B7D"/>
    <w:rsid w:val="00D91F3D"/>
    <w:rsid w:val="00D92669"/>
    <w:rsid w:val="00D929E5"/>
    <w:rsid w:val="00D9307E"/>
    <w:rsid w:val="00D93E73"/>
    <w:rsid w:val="00D94216"/>
    <w:rsid w:val="00D94AC5"/>
    <w:rsid w:val="00D9593F"/>
    <w:rsid w:val="00D96356"/>
    <w:rsid w:val="00D974C6"/>
    <w:rsid w:val="00D97C1E"/>
    <w:rsid w:val="00DA02A2"/>
    <w:rsid w:val="00DA0E42"/>
    <w:rsid w:val="00DA1151"/>
    <w:rsid w:val="00DA14C2"/>
    <w:rsid w:val="00DA1605"/>
    <w:rsid w:val="00DA1975"/>
    <w:rsid w:val="00DA2657"/>
    <w:rsid w:val="00DA2BDF"/>
    <w:rsid w:val="00DA43CD"/>
    <w:rsid w:val="00DA46C4"/>
    <w:rsid w:val="00DA4D5A"/>
    <w:rsid w:val="00DA58BD"/>
    <w:rsid w:val="00DA60A3"/>
    <w:rsid w:val="00DA6730"/>
    <w:rsid w:val="00DA6BCB"/>
    <w:rsid w:val="00DA6D8E"/>
    <w:rsid w:val="00DA7C06"/>
    <w:rsid w:val="00DB06D8"/>
    <w:rsid w:val="00DB0749"/>
    <w:rsid w:val="00DB167A"/>
    <w:rsid w:val="00DB1EF8"/>
    <w:rsid w:val="00DB2605"/>
    <w:rsid w:val="00DB2E50"/>
    <w:rsid w:val="00DB3112"/>
    <w:rsid w:val="00DB34AD"/>
    <w:rsid w:val="00DB38CF"/>
    <w:rsid w:val="00DB4D47"/>
    <w:rsid w:val="00DB4D9E"/>
    <w:rsid w:val="00DB55BD"/>
    <w:rsid w:val="00DB5E85"/>
    <w:rsid w:val="00DB6D98"/>
    <w:rsid w:val="00DB6E82"/>
    <w:rsid w:val="00DB7169"/>
    <w:rsid w:val="00DB7F7A"/>
    <w:rsid w:val="00DC0DE7"/>
    <w:rsid w:val="00DC14D9"/>
    <w:rsid w:val="00DC3BCD"/>
    <w:rsid w:val="00DC3CB6"/>
    <w:rsid w:val="00DC48B0"/>
    <w:rsid w:val="00DC578B"/>
    <w:rsid w:val="00DC5FA5"/>
    <w:rsid w:val="00DC5FC6"/>
    <w:rsid w:val="00DC63DB"/>
    <w:rsid w:val="00DC6F00"/>
    <w:rsid w:val="00DC7E1D"/>
    <w:rsid w:val="00DD0EAA"/>
    <w:rsid w:val="00DD2251"/>
    <w:rsid w:val="00DD36A9"/>
    <w:rsid w:val="00DD5B5F"/>
    <w:rsid w:val="00DD6188"/>
    <w:rsid w:val="00DD63BF"/>
    <w:rsid w:val="00DD6C8C"/>
    <w:rsid w:val="00DD7C87"/>
    <w:rsid w:val="00DE0D28"/>
    <w:rsid w:val="00DE1ED6"/>
    <w:rsid w:val="00DE268D"/>
    <w:rsid w:val="00DE3D67"/>
    <w:rsid w:val="00DE4307"/>
    <w:rsid w:val="00DE49F5"/>
    <w:rsid w:val="00DE4B71"/>
    <w:rsid w:val="00DE4D0C"/>
    <w:rsid w:val="00DE502D"/>
    <w:rsid w:val="00DE6099"/>
    <w:rsid w:val="00DE6DD4"/>
    <w:rsid w:val="00DE766A"/>
    <w:rsid w:val="00DE7FE7"/>
    <w:rsid w:val="00DF1927"/>
    <w:rsid w:val="00DF1F50"/>
    <w:rsid w:val="00DF2BF7"/>
    <w:rsid w:val="00DF30C6"/>
    <w:rsid w:val="00DF30FC"/>
    <w:rsid w:val="00DF3348"/>
    <w:rsid w:val="00DF38F8"/>
    <w:rsid w:val="00DF3F9A"/>
    <w:rsid w:val="00DF66E6"/>
    <w:rsid w:val="00DF6702"/>
    <w:rsid w:val="00DF6F00"/>
    <w:rsid w:val="00DF6F29"/>
    <w:rsid w:val="00DF737D"/>
    <w:rsid w:val="00DF798C"/>
    <w:rsid w:val="00DF7A03"/>
    <w:rsid w:val="00E0066F"/>
    <w:rsid w:val="00E011F6"/>
    <w:rsid w:val="00E01463"/>
    <w:rsid w:val="00E01C67"/>
    <w:rsid w:val="00E01F22"/>
    <w:rsid w:val="00E035E6"/>
    <w:rsid w:val="00E03B51"/>
    <w:rsid w:val="00E05E31"/>
    <w:rsid w:val="00E067C5"/>
    <w:rsid w:val="00E06C53"/>
    <w:rsid w:val="00E06F73"/>
    <w:rsid w:val="00E07115"/>
    <w:rsid w:val="00E079A0"/>
    <w:rsid w:val="00E10196"/>
    <w:rsid w:val="00E10CA7"/>
    <w:rsid w:val="00E11572"/>
    <w:rsid w:val="00E116B6"/>
    <w:rsid w:val="00E11DDA"/>
    <w:rsid w:val="00E1232A"/>
    <w:rsid w:val="00E13E68"/>
    <w:rsid w:val="00E14AD6"/>
    <w:rsid w:val="00E1629D"/>
    <w:rsid w:val="00E164DB"/>
    <w:rsid w:val="00E1673F"/>
    <w:rsid w:val="00E1693C"/>
    <w:rsid w:val="00E16C9B"/>
    <w:rsid w:val="00E16F62"/>
    <w:rsid w:val="00E20642"/>
    <w:rsid w:val="00E2092C"/>
    <w:rsid w:val="00E20FC4"/>
    <w:rsid w:val="00E23414"/>
    <w:rsid w:val="00E24AA2"/>
    <w:rsid w:val="00E254AF"/>
    <w:rsid w:val="00E26980"/>
    <w:rsid w:val="00E26C28"/>
    <w:rsid w:val="00E30C1D"/>
    <w:rsid w:val="00E312F7"/>
    <w:rsid w:val="00E313E7"/>
    <w:rsid w:val="00E3259E"/>
    <w:rsid w:val="00E32C99"/>
    <w:rsid w:val="00E3353F"/>
    <w:rsid w:val="00E336F4"/>
    <w:rsid w:val="00E341FF"/>
    <w:rsid w:val="00E343F5"/>
    <w:rsid w:val="00E34998"/>
    <w:rsid w:val="00E34D74"/>
    <w:rsid w:val="00E35318"/>
    <w:rsid w:val="00E357D9"/>
    <w:rsid w:val="00E35D19"/>
    <w:rsid w:val="00E35FF2"/>
    <w:rsid w:val="00E36676"/>
    <w:rsid w:val="00E367BE"/>
    <w:rsid w:val="00E36A9A"/>
    <w:rsid w:val="00E40072"/>
    <w:rsid w:val="00E4026E"/>
    <w:rsid w:val="00E41486"/>
    <w:rsid w:val="00E4179C"/>
    <w:rsid w:val="00E417CA"/>
    <w:rsid w:val="00E41A31"/>
    <w:rsid w:val="00E42696"/>
    <w:rsid w:val="00E43181"/>
    <w:rsid w:val="00E436FD"/>
    <w:rsid w:val="00E43ACA"/>
    <w:rsid w:val="00E44CF9"/>
    <w:rsid w:val="00E45604"/>
    <w:rsid w:val="00E4575E"/>
    <w:rsid w:val="00E4601A"/>
    <w:rsid w:val="00E461D6"/>
    <w:rsid w:val="00E46C50"/>
    <w:rsid w:val="00E46C7A"/>
    <w:rsid w:val="00E47671"/>
    <w:rsid w:val="00E50733"/>
    <w:rsid w:val="00E53609"/>
    <w:rsid w:val="00E53A4A"/>
    <w:rsid w:val="00E53A65"/>
    <w:rsid w:val="00E53C26"/>
    <w:rsid w:val="00E54574"/>
    <w:rsid w:val="00E5459A"/>
    <w:rsid w:val="00E54D54"/>
    <w:rsid w:val="00E54E51"/>
    <w:rsid w:val="00E55328"/>
    <w:rsid w:val="00E56494"/>
    <w:rsid w:val="00E56F61"/>
    <w:rsid w:val="00E609C9"/>
    <w:rsid w:val="00E60E49"/>
    <w:rsid w:val="00E62532"/>
    <w:rsid w:val="00E62E0F"/>
    <w:rsid w:val="00E62F25"/>
    <w:rsid w:val="00E6377A"/>
    <w:rsid w:val="00E63A23"/>
    <w:rsid w:val="00E6403A"/>
    <w:rsid w:val="00E645EB"/>
    <w:rsid w:val="00E64670"/>
    <w:rsid w:val="00E64DF8"/>
    <w:rsid w:val="00E64E0D"/>
    <w:rsid w:val="00E652BB"/>
    <w:rsid w:val="00E66001"/>
    <w:rsid w:val="00E6607E"/>
    <w:rsid w:val="00E71152"/>
    <w:rsid w:val="00E71176"/>
    <w:rsid w:val="00E718A1"/>
    <w:rsid w:val="00E71CA1"/>
    <w:rsid w:val="00E71E7A"/>
    <w:rsid w:val="00E73275"/>
    <w:rsid w:val="00E74302"/>
    <w:rsid w:val="00E7476E"/>
    <w:rsid w:val="00E74A69"/>
    <w:rsid w:val="00E74D4A"/>
    <w:rsid w:val="00E75166"/>
    <w:rsid w:val="00E753B2"/>
    <w:rsid w:val="00E75D98"/>
    <w:rsid w:val="00E76998"/>
    <w:rsid w:val="00E76D61"/>
    <w:rsid w:val="00E814E8"/>
    <w:rsid w:val="00E81840"/>
    <w:rsid w:val="00E81F83"/>
    <w:rsid w:val="00E8227C"/>
    <w:rsid w:val="00E82530"/>
    <w:rsid w:val="00E8270A"/>
    <w:rsid w:val="00E82E01"/>
    <w:rsid w:val="00E8310B"/>
    <w:rsid w:val="00E83DC3"/>
    <w:rsid w:val="00E84460"/>
    <w:rsid w:val="00E847D5"/>
    <w:rsid w:val="00E84AF1"/>
    <w:rsid w:val="00E85ABD"/>
    <w:rsid w:val="00E85DE8"/>
    <w:rsid w:val="00E86138"/>
    <w:rsid w:val="00E86CED"/>
    <w:rsid w:val="00E8787F"/>
    <w:rsid w:val="00E8799C"/>
    <w:rsid w:val="00E9087D"/>
    <w:rsid w:val="00E90BA3"/>
    <w:rsid w:val="00E91279"/>
    <w:rsid w:val="00E918E5"/>
    <w:rsid w:val="00E92BD6"/>
    <w:rsid w:val="00E93829"/>
    <w:rsid w:val="00E94007"/>
    <w:rsid w:val="00E9454C"/>
    <w:rsid w:val="00E9604C"/>
    <w:rsid w:val="00E96889"/>
    <w:rsid w:val="00E96BAA"/>
    <w:rsid w:val="00E97987"/>
    <w:rsid w:val="00EA0F2B"/>
    <w:rsid w:val="00EA110D"/>
    <w:rsid w:val="00EA1613"/>
    <w:rsid w:val="00EA2396"/>
    <w:rsid w:val="00EA29CC"/>
    <w:rsid w:val="00EA33D6"/>
    <w:rsid w:val="00EA3743"/>
    <w:rsid w:val="00EA386A"/>
    <w:rsid w:val="00EA460B"/>
    <w:rsid w:val="00EA49E2"/>
    <w:rsid w:val="00EA4D5B"/>
    <w:rsid w:val="00EA52F5"/>
    <w:rsid w:val="00EA5B4F"/>
    <w:rsid w:val="00EA663B"/>
    <w:rsid w:val="00EA6C73"/>
    <w:rsid w:val="00EA6D42"/>
    <w:rsid w:val="00EA7310"/>
    <w:rsid w:val="00EA74A0"/>
    <w:rsid w:val="00EA7C97"/>
    <w:rsid w:val="00EA7EC7"/>
    <w:rsid w:val="00EB0BCF"/>
    <w:rsid w:val="00EB1A76"/>
    <w:rsid w:val="00EB2E54"/>
    <w:rsid w:val="00EB33A2"/>
    <w:rsid w:val="00EB3701"/>
    <w:rsid w:val="00EB3FAF"/>
    <w:rsid w:val="00EB41CB"/>
    <w:rsid w:val="00EB4C56"/>
    <w:rsid w:val="00EB65CD"/>
    <w:rsid w:val="00EB6D25"/>
    <w:rsid w:val="00EC05F7"/>
    <w:rsid w:val="00EC145B"/>
    <w:rsid w:val="00EC15D5"/>
    <w:rsid w:val="00EC1B67"/>
    <w:rsid w:val="00EC269B"/>
    <w:rsid w:val="00EC2A24"/>
    <w:rsid w:val="00EC2C83"/>
    <w:rsid w:val="00EC3513"/>
    <w:rsid w:val="00EC3AC7"/>
    <w:rsid w:val="00EC3DA8"/>
    <w:rsid w:val="00EC4D27"/>
    <w:rsid w:val="00EC52EF"/>
    <w:rsid w:val="00EC557F"/>
    <w:rsid w:val="00EC5E24"/>
    <w:rsid w:val="00ED08D7"/>
    <w:rsid w:val="00ED1043"/>
    <w:rsid w:val="00ED24EF"/>
    <w:rsid w:val="00ED30E9"/>
    <w:rsid w:val="00ED3AC9"/>
    <w:rsid w:val="00ED41D7"/>
    <w:rsid w:val="00ED49D9"/>
    <w:rsid w:val="00ED533B"/>
    <w:rsid w:val="00ED633F"/>
    <w:rsid w:val="00ED65E1"/>
    <w:rsid w:val="00ED6E03"/>
    <w:rsid w:val="00ED6E21"/>
    <w:rsid w:val="00ED707C"/>
    <w:rsid w:val="00ED70D4"/>
    <w:rsid w:val="00ED71C5"/>
    <w:rsid w:val="00ED795C"/>
    <w:rsid w:val="00EE088A"/>
    <w:rsid w:val="00EE0C0B"/>
    <w:rsid w:val="00EE1BE2"/>
    <w:rsid w:val="00EE298D"/>
    <w:rsid w:val="00EE3000"/>
    <w:rsid w:val="00EE37EB"/>
    <w:rsid w:val="00EE5291"/>
    <w:rsid w:val="00EE6336"/>
    <w:rsid w:val="00EE680A"/>
    <w:rsid w:val="00EE72D1"/>
    <w:rsid w:val="00EE75F6"/>
    <w:rsid w:val="00EE77A6"/>
    <w:rsid w:val="00EF0255"/>
    <w:rsid w:val="00EF0352"/>
    <w:rsid w:val="00EF09AF"/>
    <w:rsid w:val="00EF133C"/>
    <w:rsid w:val="00EF2541"/>
    <w:rsid w:val="00EF25A1"/>
    <w:rsid w:val="00EF27C0"/>
    <w:rsid w:val="00EF2A64"/>
    <w:rsid w:val="00EF2B00"/>
    <w:rsid w:val="00EF3427"/>
    <w:rsid w:val="00EF34F8"/>
    <w:rsid w:val="00EF4479"/>
    <w:rsid w:val="00EF4B2E"/>
    <w:rsid w:val="00EF631A"/>
    <w:rsid w:val="00EF6AA8"/>
    <w:rsid w:val="00F00411"/>
    <w:rsid w:val="00F004E5"/>
    <w:rsid w:val="00F011F9"/>
    <w:rsid w:val="00F01448"/>
    <w:rsid w:val="00F018FD"/>
    <w:rsid w:val="00F01B84"/>
    <w:rsid w:val="00F02679"/>
    <w:rsid w:val="00F02A87"/>
    <w:rsid w:val="00F02BE8"/>
    <w:rsid w:val="00F0305C"/>
    <w:rsid w:val="00F037E4"/>
    <w:rsid w:val="00F041E5"/>
    <w:rsid w:val="00F045CF"/>
    <w:rsid w:val="00F04E9F"/>
    <w:rsid w:val="00F05031"/>
    <w:rsid w:val="00F05597"/>
    <w:rsid w:val="00F05ACD"/>
    <w:rsid w:val="00F05AF9"/>
    <w:rsid w:val="00F060D8"/>
    <w:rsid w:val="00F06193"/>
    <w:rsid w:val="00F07634"/>
    <w:rsid w:val="00F078A6"/>
    <w:rsid w:val="00F07B7F"/>
    <w:rsid w:val="00F100A2"/>
    <w:rsid w:val="00F10B6F"/>
    <w:rsid w:val="00F10E66"/>
    <w:rsid w:val="00F118EA"/>
    <w:rsid w:val="00F11E66"/>
    <w:rsid w:val="00F12A4E"/>
    <w:rsid w:val="00F1381D"/>
    <w:rsid w:val="00F13C79"/>
    <w:rsid w:val="00F1411C"/>
    <w:rsid w:val="00F159C2"/>
    <w:rsid w:val="00F15AE4"/>
    <w:rsid w:val="00F1633C"/>
    <w:rsid w:val="00F168A6"/>
    <w:rsid w:val="00F16B10"/>
    <w:rsid w:val="00F20566"/>
    <w:rsid w:val="00F20C59"/>
    <w:rsid w:val="00F2148F"/>
    <w:rsid w:val="00F2206C"/>
    <w:rsid w:val="00F229B5"/>
    <w:rsid w:val="00F22CB0"/>
    <w:rsid w:val="00F22FA5"/>
    <w:rsid w:val="00F240A6"/>
    <w:rsid w:val="00F25CA2"/>
    <w:rsid w:val="00F260E8"/>
    <w:rsid w:val="00F26C24"/>
    <w:rsid w:val="00F26CB5"/>
    <w:rsid w:val="00F26D0F"/>
    <w:rsid w:val="00F271FE"/>
    <w:rsid w:val="00F30C94"/>
    <w:rsid w:val="00F31780"/>
    <w:rsid w:val="00F32FD6"/>
    <w:rsid w:val="00F336F1"/>
    <w:rsid w:val="00F339F4"/>
    <w:rsid w:val="00F34070"/>
    <w:rsid w:val="00F34129"/>
    <w:rsid w:val="00F34C53"/>
    <w:rsid w:val="00F35A4E"/>
    <w:rsid w:val="00F35AD8"/>
    <w:rsid w:val="00F36309"/>
    <w:rsid w:val="00F37D61"/>
    <w:rsid w:val="00F408CE"/>
    <w:rsid w:val="00F40C5B"/>
    <w:rsid w:val="00F41332"/>
    <w:rsid w:val="00F41825"/>
    <w:rsid w:val="00F41B4B"/>
    <w:rsid w:val="00F426C1"/>
    <w:rsid w:val="00F43630"/>
    <w:rsid w:val="00F43BA1"/>
    <w:rsid w:val="00F44109"/>
    <w:rsid w:val="00F44257"/>
    <w:rsid w:val="00F442EF"/>
    <w:rsid w:val="00F453A1"/>
    <w:rsid w:val="00F45BB9"/>
    <w:rsid w:val="00F461DA"/>
    <w:rsid w:val="00F476A8"/>
    <w:rsid w:val="00F501E7"/>
    <w:rsid w:val="00F502C9"/>
    <w:rsid w:val="00F50A0D"/>
    <w:rsid w:val="00F50C25"/>
    <w:rsid w:val="00F5151A"/>
    <w:rsid w:val="00F51BB4"/>
    <w:rsid w:val="00F5264B"/>
    <w:rsid w:val="00F52E27"/>
    <w:rsid w:val="00F530DE"/>
    <w:rsid w:val="00F53629"/>
    <w:rsid w:val="00F53C9B"/>
    <w:rsid w:val="00F53D1A"/>
    <w:rsid w:val="00F549AE"/>
    <w:rsid w:val="00F54A72"/>
    <w:rsid w:val="00F551BF"/>
    <w:rsid w:val="00F56C08"/>
    <w:rsid w:val="00F57425"/>
    <w:rsid w:val="00F60231"/>
    <w:rsid w:val="00F60A53"/>
    <w:rsid w:val="00F60BFF"/>
    <w:rsid w:val="00F614DC"/>
    <w:rsid w:val="00F630A5"/>
    <w:rsid w:val="00F632D1"/>
    <w:rsid w:val="00F632F9"/>
    <w:rsid w:val="00F64341"/>
    <w:rsid w:val="00F6476E"/>
    <w:rsid w:val="00F67166"/>
    <w:rsid w:val="00F701AD"/>
    <w:rsid w:val="00F70B12"/>
    <w:rsid w:val="00F70E25"/>
    <w:rsid w:val="00F72C6D"/>
    <w:rsid w:val="00F73A27"/>
    <w:rsid w:val="00F74E26"/>
    <w:rsid w:val="00F76AB8"/>
    <w:rsid w:val="00F76C9D"/>
    <w:rsid w:val="00F778D5"/>
    <w:rsid w:val="00F77C2E"/>
    <w:rsid w:val="00F807FF"/>
    <w:rsid w:val="00F80930"/>
    <w:rsid w:val="00F80EF4"/>
    <w:rsid w:val="00F81501"/>
    <w:rsid w:val="00F81710"/>
    <w:rsid w:val="00F819FE"/>
    <w:rsid w:val="00F81BF1"/>
    <w:rsid w:val="00F822F4"/>
    <w:rsid w:val="00F8244B"/>
    <w:rsid w:val="00F827F9"/>
    <w:rsid w:val="00F828EA"/>
    <w:rsid w:val="00F82A51"/>
    <w:rsid w:val="00F82CAF"/>
    <w:rsid w:val="00F82FBD"/>
    <w:rsid w:val="00F835A1"/>
    <w:rsid w:val="00F83EB1"/>
    <w:rsid w:val="00F8447E"/>
    <w:rsid w:val="00F84572"/>
    <w:rsid w:val="00F85123"/>
    <w:rsid w:val="00F857A0"/>
    <w:rsid w:val="00F8595E"/>
    <w:rsid w:val="00F85C33"/>
    <w:rsid w:val="00F85DF4"/>
    <w:rsid w:val="00F85F36"/>
    <w:rsid w:val="00F86041"/>
    <w:rsid w:val="00F86206"/>
    <w:rsid w:val="00F86377"/>
    <w:rsid w:val="00F867C5"/>
    <w:rsid w:val="00F86FBE"/>
    <w:rsid w:val="00F87765"/>
    <w:rsid w:val="00F87BBF"/>
    <w:rsid w:val="00F90166"/>
    <w:rsid w:val="00F902E6"/>
    <w:rsid w:val="00F91A7C"/>
    <w:rsid w:val="00F92193"/>
    <w:rsid w:val="00F92590"/>
    <w:rsid w:val="00F93540"/>
    <w:rsid w:val="00F94550"/>
    <w:rsid w:val="00F94583"/>
    <w:rsid w:val="00F94A3B"/>
    <w:rsid w:val="00F95549"/>
    <w:rsid w:val="00F966F4"/>
    <w:rsid w:val="00FA02E5"/>
    <w:rsid w:val="00FA0B0A"/>
    <w:rsid w:val="00FA1324"/>
    <w:rsid w:val="00FA13D5"/>
    <w:rsid w:val="00FA1436"/>
    <w:rsid w:val="00FA14B3"/>
    <w:rsid w:val="00FA164E"/>
    <w:rsid w:val="00FA1C0F"/>
    <w:rsid w:val="00FA2B19"/>
    <w:rsid w:val="00FA2BFC"/>
    <w:rsid w:val="00FA4BEF"/>
    <w:rsid w:val="00FA56A7"/>
    <w:rsid w:val="00FA56E7"/>
    <w:rsid w:val="00FA604E"/>
    <w:rsid w:val="00FA6172"/>
    <w:rsid w:val="00FA6F2F"/>
    <w:rsid w:val="00FB03D9"/>
    <w:rsid w:val="00FB0ABF"/>
    <w:rsid w:val="00FB0BD1"/>
    <w:rsid w:val="00FB110D"/>
    <w:rsid w:val="00FB11AF"/>
    <w:rsid w:val="00FB138C"/>
    <w:rsid w:val="00FB1919"/>
    <w:rsid w:val="00FB19DE"/>
    <w:rsid w:val="00FB1E7E"/>
    <w:rsid w:val="00FB29DB"/>
    <w:rsid w:val="00FB30CA"/>
    <w:rsid w:val="00FB4BBE"/>
    <w:rsid w:val="00FB4E1B"/>
    <w:rsid w:val="00FB586C"/>
    <w:rsid w:val="00FB5C2D"/>
    <w:rsid w:val="00FB721A"/>
    <w:rsid w:val="00FB7C50"/>
    <w:rsid w:val="00FC0001"/>
    <w:rsid w:val="00FC0587"/>
    <w:rsid w:val="00FC0FDE"/>
    <w:rsid w:val="00FC12A1"/>
    <w:rsid w:val="00FC248E"/>
    <w:rsid w:val="00FC24F8"/>
    <w:rsid w:val="00FC2F0F"/>
    <w:rsid w:val="00FC3F32"/>
    <w:rsid w:val="00FC47EF"/>
    <w:rsid w:val="00FC4FB1"/>
    <w:rsid w:val="00FC534A"/>
    <w:rsid w:val="00FC5B9E"/>
    <w:rsid w:val="00FC65D4"/>
    <w:rsid w:val="00FC6942"/>
    <w:rsid w:val="00FC69B2"/>
    <w:rsid w:val="00FC6C2D"/>
    <w:rsid w:val="00FC7D99"/>
    <w:rsid w:val="00FD0213"/>
    <w:rsid w:val="00FD0626"/>
    <w:rsid w:val="00FD13F1"/>
    <w:rsid w:val="00FD1D15"/>
    <w:rsid w:val="00FD2062"/>
    <w:rsid w:val="00FD217F"/>
    <w:rsid w:val="00FD2213"/>
    <w:rsid w:val="00FD3846"/>
    <w:rsid w:val="00FD3C0D"/>
    <w:rsid w:val="00FD40F0"/>
    <w:rsid w:val="00FD411C"/>
    <w:rsid w:val="00FD49B2"/>
    <w:rsid w:val="00FD4A32"/>
    <w:rsid w:val="00FD5A55"/>
    <w:rsid w:val="00FD5F25"/>
    <w:rsid w:val="00FD6E67"/>
    <w:rsid w:val="00FD7FF1"/>
    <w:rsid w:val="00FE01A2"/>
    <w:rsid w:val="00FE03DB"/>
    <w:rsid w:val="00FE0583"/>
    <w:rsid w:val="00FE0BC1"/>
    <w:rsid w:val="00FE28D7"/>
    <w:rsid w:val="00FE2B9B"/>
    <w:rsid w:val="00FE2BB2"/>
    <w:rsid w:val="00FE39F8"/>
    <w:rsid w:val="00FE4077"/>
    <w:rsid w:val="00FE432D"/>
    <w:rsid w:val="00FE66A4"/>
    <w:rsid w:val="00FE698D"/>
    <w:rsid w:val="00FE74B4"/>
    <w:rsid w:val="00FE7F92"/>
    <w:rsid w:val="00FF105F"/>
    <w:rsid w:val="00FF1843"/>
    <w:rsid w:val="00FF190A"/>
    <w:rsid w:val="00FF1D59"/>
    <w:rsid w:val="00FF1F7A"/>
    <w:rsid w:val="00FF228E"/>
    <w:rsid w:val="00FF249D"/>
    <w:rsid w:val="00FF2EEB"/>
    <w:rsid w:val="00FF2FFA"/>
    <w:rsid w:val="00FF351F"/>
    <w:rsid w:val="00FF3C06"/>
    <w:rsid w:val="00FF3DD6"/>
    <w:rsid w:val="00FF3FE1"/>
    <w:rsid w:val="00FF43DD"/>
    <w:rsid w:val="00FF4CAD"/>
    <w:rsid w:val="00FF573E"/>
    <w:rsid w:val="00FF66EA"/>
    <w:rsid w:val="00FF699E"/>
    <w:rsid w:val="00FF6FB1"/>
    <w:rsid w:val="00FF7AB6"/>
    <w:rsid w:val="00FF7CAF"/>
    <w:rsid w:val="00FF7DDA"/>
    <w:rsid w:val="00FF7DF7"/>
    <w:rsid w:val="010D584A"/>
    <w:rsid w:val="018B0DB4"/>
    <w:rsid w:val="01C15DE9"/>
    <w:rsid w:val="01FC50D5"/>
    <w:rsid w:val="0214184B"/>
    <w:rsid w:val="023A38B7"/>
    <w:rsid w:val="026A1B7E"/>
    <w:rsid w:val="026D321A"/>
    <w:rsid w:val="02997462"/>
    <w:rsid w:val="02B06E7D"/>
    <w:rsid w:val="02D51E7F"/>
    <w:rsid w:val="03114B23"/>
    <w:rsid w:val="033D5F60"/>
    <w:rsid w:val="03494097"/>
    <w:rsid w:val="0379022A"/>
    <w:rsid w:val="03873062"/>
    <w:rsid w:val="039C33B8"/>
    <w:rsid w:val="03B02795"/>
    <w:rsid w:val="03DE1B7C"/>
    <w:rsid w:val="03E07A24"/>
    <w:rsid w:val="041D5FA0"/>
    <w:rsid w:val="04204ED0"/>
    <w:rsid w:val="044908D7"/>
    <w:rsid w:val="04995485"/>
    <w:rsid w:val="04C3411F"/>
    <w:rsid w:val="05017574"/>
    <w:rsid w:val="051A6F66"/>
    <w:rsid w:val="052104D9"/>
    <w:rsid w:val="054F6874"/>
    <w:rsid w:val="05504736"/>
    <w:rsid w:val="055C132D"/>
    <w:rsid w:val="055D5B4D"/>
    <w:rsid w:val="0578109A"/>
    <w:rsid w:val="057D0CEA"/>
    <w:rsid w:val="05B82803"/>
    <w:rsid w:val="05D42168"/>
    <w:rsid w:val="05DC15FF"/>
    <w:rsid w:val="05E339B2"/>
    <w:rsid w:val="05F005C0"/>
    <w:rsid w:val="060955EF"/>
    <w:rsid w:val="06304C86"/>
    <w:rsid w:val="06530502"/>
    <w:rsid w:val="068643DD"/>
    <w:rsid w:val="06884054"/>
    <w:rsid w:val="076216E2"/>
    <w:rsid w:val="07683FB9"/>
    <w:rsid w:val="07740BAF"/>
    <w:rsid w:val="077D425B"/>
    <w:rsid w:val="078A3F66"/>
    <w:rsid w:val="079421F6"/>
    <w:rsid w:val="07BD2965"/>
    <w:rsid w:val="07C3704C"/>
    <w:rsid w:val="07D00B6F"/>
    <w:rsid w:val="084D3443"/>
    <w:rsid w:val="086C4DCD"/>
    <w:rsid w:val="08754969"/>
    <w:rsid w:val="08790B46"/>
    <w:rsid w:val="0896666F"/>
    <w:rsid w:val="08A8780D"/>
    <w:rsid w:val="091E442E"/>
    <w:rsid w:val="092216C8"/>
    <w:rsid w:val="092901C8"/>
    <w:rsid w:val="093C3D8A"/>
    <w:rsid w:val="093F4605"/>
    <w:rsid w:val="09544359"/>
    <w:rsid w:val="09646C83"/>
    <w:rsid w:val="0995039F"/>
    <w:rsid w:val="0A000553"/>
    <w:rsid w:val="0A1A7FDA"/>
    <w:rsid w:val="0A340DD0"/>
    <w:rsid w:val="0A4F494E"/>
    <w:rsid w:val="0A6B4FB6"/>
    <w:rsid w:val="0A7C6A1F"/>
    <w:rsid w:val="0A932D69"/>
    <w:rsid w:val="0AD97263"/>
    <w:rsid w:val="0ADD6E3B"/>
    <w:rsid w:val="0AEA3DD6"/>
    <w:rsid w:val="0B0A6FC1"/>
    <w:rsid w:val="0B101A5A"/>
    <w:rsid w:val="0B140236"/>
    <w:rsid w:val="0B4050EC"/>
    <w:rsid w:val="0BB117FD"/>
    <w:rsid w:val="0C171C05"/>
    <w:rsid w:val="0C226115"/>
    <w:rsid w:val="0C4654F1"/>
    <w:rsid w:val="0C7328AA"/>
    <w:rsid w:val="0C9B47E7"/>
    <w:rsid w:val="0CAC1142"/>
    <w:rsid w:val="0CAF47B0"/>
    <w:rsid w:val="0CC2740C"/>
    <w:rsid w:val="0CE95F08"/>
    <w:rsid w:val="0D024EED"/>
    <w:rsid w:val="0D0E7325"/>
    <w:rsid w:val="0D34724A"/>
    <w:rsid w:val="0D372EEB"/>
    <w:rsid w:val="0D6031BD"/>
    <w:rsid w:val="0D701029"/>
    <w:rsid w:val="0D777AFC"/>
    <w:rsid w:val="0D856340"/>
    <w:rsid w:val="0DB93665"/>
    <w:rsid w:val="0DE7049E"/>
    <w:rsid w:val="0E5D7BAC"/>
    <w:rsid w:val="0E772366"/>
    <w:rsid w:val="0E7C3152"/>
    <w:rsid w:val="0EB90B89"/>
    <w:rsid w:val="0EC02687"/>
    <w:rsid w:val="0F3A448D"/>
    <w:rsid w:val="0F707367"/>
    <w:rsid w:val="0F73546C"/>
    <w:rsid w:val="0F791495"/>
    <w:rsid w:val="0F81063A"/>
    <w:rsid w:val="0F86372D"/>
    <w:rsid w:val="0FA869BD"/>
    <w:rsid w:val="0FB33FA0"/>
    <w:rsid w:val="0FC37055"/>
    <w:rsid w:val="101B34C9"/>
    <w:rsid w:val="10681A3F"/>
    <w:rsid w:val="10794188"/>
    <w:rsid w:val="10A04D96"/>
    <w:rsid w:val="10B1637E"/>
    <w:rsid w:val="10BF77EF"/>
    <w:rsid w:val="10F205C1"/>
    <w:rsid w:val="110067A2"/>
    <w:rsid w:val="110833C4"/>
    <w:rsid w:val="111362A1"/>
    <w:rsid w:val="111B50C4"/>
    <w:rsid w:val="11300522"/>
    <w:rsid w:val="11AE71DC"/>
    <w:rsid w:val="11B37F39"/>
    <w:rsid w:val="12322E99"/>
    <w:rsid w:val="1243708C"/>
    <w:rsid w:val="12542F22"/>
    <w:rsid w:val="12566088"/>
    <w:rsid w:val="125954F9"/>
    <w:rsid w:val="125B7BB4"/>
    <w:rsid w:val="125D25AB"/>
    <w:rsid w:val="128743F9"/>
    <w:rsid w:val="12947492"/>
    <w:rsid w:val="12B2621A"/>
    <w:rsid w:val="12B50927"/>
    <w:rsid w:val="12CD0A20"/>
    <w:rsid w:val="12CF313E"/>
    <w:rsid w:val="12E74C02"/>
    <w:rsid w:val="131122B2"/>
    <w:rsid w:val="13622C7A"/>
    <w:rsid w:val="136F255C"/>
    <w:rsid w:val="13891AE5"/>
    <w:rsid w:val="139C4874"/>
    <w:rsid w:val="13AE29EA"/>
    <w:rsid w:val="13B254C2"/>
    <w:rsid w:val="13D51D89"/>
    <w:rsid w:val="13E7601D"/>
    <w:rsid w:val="140C3B67"/>
    <w:rsid w:val="140E3C36"/>
    <w:rsid w:val="14351D36"/>
    <w:rsid w:val="148C6997"/>
    <w:rsid w:val="149E3FBE"/>
    <w:rsid w:val="14A22387"/>
    <w:rsid w:val="14B40173"/>
    <w:rsid w:val="150F6EAD"/>
    <w:rsid w:val="1540353F"/>
    <w:rsid w:val="156B0444"/>
    <w:rsid w:val="15835B81"/>
    <w:rsid w:val="158B38DD"/>
    <w:rsid w:val="158D37CB"/>
    <w:rsid w:val="15B853F6"/>
    <w:rsid w:val="15D13671"/>
    <w:rsid w:val="15E84C2D"/>
    <w:rsid w:val="15F221E6"/>
    <w:rsid w:val="15FB6382"/>
    <w:rsid w:val="160A748E"/>
    <w:rsid w:val="161544C4"/>
    <w:rsid w:val="161E61BF"/>
    <w:rsid w:val="16546CAA"/>
    <w:rsid w:val="167B4357"/>
    <w:rsid w:val="167B7140"/>
    <w:rsid w:val="1680351A"/>
    <w:rsid w:val="16937EC0"/>
    <w:rsid w:val="16B06885"/>
    <w:rsid w:val="16C96C85"/>
    <w:rsid w:val="1773293D"/>
    <w:rsid w:val="17AB6DF2"/>
    <w:rsid w:val="17D7118F"/>
    <w:rsid w:val="17DB336B"/>
    <w:rsid w:val="17DF676D"/>
    <w:rsid w:val="17E30468"/>
    <w:rsid w:val="18040BB6"/>
    <w:rsid w:val="180F1325"/>
    <w:rsid w:val="181211E1"/>
    <w:rsid w:val="18220F61"/>
    <w:rsid w:val="183138A9"/>
    <w:rsid w:val="18483DB4"/>
    <w:rsid w:val="18A85593"/>
    <w:rsid w:val="18D05802"/>
    <w:rsid w:val="18DA7DCF"/>
    <w:rsid w:val="18E858D6"/>
    <w:rsid w:val="195C3C9A"/>
    <w:rsid w:val="19B25589"/>
    <w:rsid w:val="19B93C6C"/>
    <w:rsid w:val="19C20C49"/>
    <w:rsid w:val="19D16837"/>
    <w:rsid w:val="19F77063"/>
    <w:rsid w:val="19FE67A7"/>
    <w:rsid w:val="1A017E9E"/>
    <w:rsid w:val="1A327C02"/>
    <w:rsid w:val="1A4C4402"/>
    <w:rsid w:val="1A691FBD"/>
    <w:rsid w:val="1A6E4F86"/>
    <w:rsid w:val="1A6F2278"/>
    <w:rsid w:val="1A777963"/>
    <w:rsid w:val="1A904F34"/>
    <w:rsid w:val="1AA51678"/>
    <w:rsid w:val="1ABF1192"/>
    <w:rsid w:val="1AFF47DC"/>
    <w:rsid w:val="1B1348C5"/>
    <w:rsid w:val="1B407AC8"/>
    <w:rsid w:val="1B426B5F"/>
    <w:rsid w:val="1BCF06D4"/>
    <w:rsid w:val="1BE30299"/>
    <w:rsid w:val="1C1D15E5"/>
    <w:rsid w:val="1C4B4866"/>
    <w:rsid w:val="1C7438EC"/>
    <w:rsid w:val="1C7D15FF"/>
    <w:rsid w:val="1CC57D6A"/>
    <w:rsid w:val="1CDF6B5A"/>
    <w:rsid w:val="1CF86E82"/>
    <w:rsid w:val="1D105BBD"/>
    <w:rsid w:val="1D1B1605"/>
    <w:rsid w:val="1D1B6184"/>
    <w:rsid w:val="1D2326F8"/>
    <w:rsid w:val="1D3B3328"/>
    <w:rsid w:val="1D4A5E6E"/>
    <w:rsid w:val="1D4C1805"/>
    <w:rsid w:val="1D4D76E4"/>
    <w:rsid w:val="1D5E2799"/>
    <w:rsid w:val="1DA1733D"/>
    <w:rsid w:val="1DD13FE0"/>
    <w:rsid w:val="1DE657E0"/>
    <w:rsid w:val="1DE9027E"/>
    <w:rsid w:val="1E257350"/>
    <w:rsid w:val="1E325A02"/>
    <w:rsid w:val="1E5637EB"/>
    <w:rsid w:val="1E58205B"/>
    <w:rsid w:val="1E732183"/>
    <w:rsid w:val="1E7C1AB3"/>
    <w:rsid w:val="1E9504AC"/>
    <w:rsid w:val="1EDC4D66"/>
    <w:rsid w:val="1F2258A8"/>
    <w:rsid w:val="1F2974CA"/>
    <w:rsid w:val="1F2E11FF"/>
    <w:rsid w:val="1F336548"/>
    <w:rsid w:val="1F5E0386"/>
    <w:rsid w:val="1F7C1B4F"/>
    <w:rsid w:val="1FA56824"/>
    <w:rsid w:val="1FB50C49"/>
    <w:rsid w:val="1FD72C7E"/>
    <w:rsid w:val="1FF103E3"/>
    <w:rsid w:val="201A6367"/>
    <w:rsid w:val="202A2E7C"/>
    <w:rsid w:val="202B733B"/>
    <w:rsid w:val="202C7A59"/>
    <w:rsid w:val="20337A13"/>
    <w:rsid w:val="205D3D62"/>
    <w:rsid w:val="20893E93"/>
    <w:rsid w:val="20DC1CA5"/>
    <w:rsid w:val="20E0018A"/>
    <w:rsid w:val="20E25C1E"/>
    <w:rsid w:val="20EF4C0D"/>
    <w:rsid w:val="20F75336"/>
    <w:rsid w:val="2130081B"/>
    <w:rsid w:val="2148242D"/>
    <w:rsid w:val="215D2799"/>
    <w:rsid w:val="21630A88"/>
    <w:rsid w:val="2168446B"/>
    <w:rsid w:val="217346AE"/>
    <w:rsid w:val="21943EB7"/>
    <w:rsid w:val="21B938D2"/>
    <w:rsid w:val="21C44757"/>
    <w:rsid w:val="21C52635"/>
    <w:rsid w:val="22026117"/>
    <w:rsid w:val="222A4D23"/>
    <w:rsid w:val="22311535"/>
    <w:rsid w:val="22324CC4"/>
    <w:rsid w:val="22762976"/>
    <w:rsid w:val="22A1472C"/>
    <w:rsid w:val="22F27820"/>
    <w:rsid w:val="23045118"/>
    <w:rsid w:val="230F2794"/>
    <w:rsid w:val="232B1C86"/>
    <w:rsid w:val="233652EC"/>
    <w:rsid w:val="23582569"/>
    <w:rsid w:val="235C30DD"/>
    <w:rsid w:val="23787B5B"/>
    <w:rsid w:val="237C0831"/>
    <w:rsid w:val="237C2FAF"/>
    <w:rsid w:val="238C0664"/>
    <w:rsid w:val="23A90FD2"/>
    <w:rsid w:val="23B86E30"/>
    <w:rsid w:val="23B9535B"/>
    <w:rsid w:val="23BF68DA"/>
    <w:rsid w:val="23DB2A08"/>
    <w:rsid w:val="23EB1DA2"/>
    <w:rsid w:val="24263986"/>
    <w:rsid w:val="242E2F32"/>
    <w:rsid w:val="24387F46"/>
    <w:rsid w:val="243A0756"/>
    <w:rsid w:val="24586D11"/>
    <w:rsid w:val="246F26B9"/>
    <w:rsid w:val="247907B0"/>
    <w:rsid w:val="24A84F5A"/>
    <w:rsid w:val="24AE7EE6"/>
    <w:rsid w:val="24F11A65"/>
    <w:rsid w:val="251B185A"/>
    <w:rsid w:val="252C0185"/>
    <w:rsid w:val="254967DE"/>
    <w:rsid w:val="25713BA8"/>
    <w:rsid w:val="25CE54D4"/>
    <w:rsid w:val="25E95D72"/>
    <w:rsid w:val="25FA1B44"/>
    <w:rsid w:val="26181FC5"/>
    <w:rsid w:val="26747633"/>
    <w:rsid w:val="26A017DE"/>
    <w:rsid w:val="26EA3F29"/>
    <w:rsid w:val="27525ECE"/>
    <w:rsid w:val="276E6752"/>
    <w:rsid w:val="277A3DBB"/>
    <w:rsid w:val="27922511"/>
    <w:rsid w:val="27A120D5"/>
    <w:rsid w:val="27AF0DC1"/>
    <w:rsid w:val="27B30728"/>
    <w:rsid w:val="27D930E8"/>
    <w:rsid w:val="27E668B8"/>
    <w:rsid w:val="28117D00"/>
    <w:rsid w:val="28590822"/>
    <w:rsid w:val="287B237D"/>
    <w:rsid w:val="289333E0"/>
    <w:rsid w:val="28BD2F8C"/>
    <w:rsid w:val="28BE42BF"/>
    <w:rsid w:val="28CE0BAA"/>
    <w:rsid w:val="28D91F65"/>
    <w:rsid w:val="28DA37C1"/>
    <w:rsid w:val="28F16A70"/>
    <w:rsid w:val="290026F3"/>
    <w:rsid w:val="29314EC7"/>
    <w:rsid w:val="29511986"/>
    <w:rsid w:val="29530E5F"/>
    <w:rsid w:val="295D7DB8"/>
    <w:rsid w:val="297A003B"/>
    <w:rsid w:val="297E01A9"/>
    <w:rsid w:val="29837C59"/>
    <w:rsid w:val="299A5FBF"/>
    <w:rsid w:val="29EF6C3E"/>
    <w:rsid w:val="29F43B39"/>
    <w:rsid w:val="2A005F5B"/>
    <w:rsid w:val="2A13399A"/>
    <w:rsid w:val="2A1A0CEB"/>
    <w:rsid w:val="2A285950"/>
    <w:rsid w:val="2A492E48"/>
    <w:rsid w:val="2A4F610F"/>
    <w:rsid w:val="2A6935A1"/>
    <w:rsid w:val="2AB17C84"/>
    <w:rsid w:val="2AB534D1"/>
    <w:rsid w:val="2AB650FE"/>
    <w:rsid w:val="2AC24156"/>
    <w:rsid w:val="2AE2296C"/>
    <w:rsid w:val="2B2B728B"/>
    <w:rsid w:val="2B58487D"/>
    <w:rsid w:val="2B69041D"/>
    <w:rsid w:val="2B75066F"/>
    <w:rsid w:val="2B857EFC"/>
    <w:rsid w:val="2BA03B9C"/>
    <w:rsid w:val="2C1779FB"/>
    <w:rsid w:val="2C1B6F9C"/>
    <w:rsid w:val="2C5C47D4"/>
    <w:rsid w:val="2C836513"/>
    <w:rsid w:val="2C934DA8"/>
    <w:rsid w:val="2CA13945"/>
    <w:rsid w:val="2CA36266"/>
    <w:rsid w:val="2CBF6F26"/>
    <w:rsid w:val="2CC2702C"/>
    <w:rsid w:val="2D185BA6"/>
    <w:rsid w:val="2D2464B8"/>
    <w:rsid w:val="2D2614F6"/>
    <w:rsid w:val="2D557FA8"/>
    <w:rsid w:val="2D86101C"/>
    <w:rsid w:val="2D8F0645"/>
    <w:rsid w:val="2D8F4A15"/>
    <w:rsid w:val="2D903A65"/>
    <w:rsid w:val="2DCF5BE4"/>
    <w:rsid w:val="2DD4693B"/>
    <w:rsid w:val="2DE10A17"/>
    <w:rsid w:val="2DE2256C"/>
    <w:rsid w:val="2E275AE1"/>
    <w:rsid w:val="2E671EA2"/>
    <w:rsid w:val="2E9A779C"/>
    <w:rsid w:val="2EAA0E7A"/>
    <w:rsid w:val="2EAC4E18"/>
    <w:rsid w:val="2F4044A8"/>
    <w:rsid w:val="2F526E42"/>
    <w:rsid w:val="2F58127E"/>
    <w:rsid w:val="2F5E37D0"/>
    <w:rsid w:val="2F607D57"/>
    <w:rsid w:val="2F9C3084"/>
    <w:rsid w:val="2FA552F7"/>
    <w:rsid w:val="2FE827B0"/>
    <w:rsid w:val="2FFD3C2C"/>
    <w:rsid w:val="303C76AA"/>
    <w:rsid w:val="304A6236"/>
    <w:rsid w:val="30641DBA"/>
    <w:rsid w:val="30735E12"/>
    <w:rsid w:val="307F22D4"/>
    <w:rsid w:val="30A6567A"/>
    <w:rsid w:val="30C4745A"/>
    <w:rsid w:val="3109410C"/>
    <w:rsid w:val="31130F3B"/>
    <w:rsid w:val="3118081B"/>
    <w:rsid w:val="31287EC3"/>
    <w:rsid w:val="313114A2"/>
    <w:rsid w:val="315A4CF4"/>
    <w:rsid w:val="31970D35"/>
    <w:rsid w:val="31EC6D75"/>
    <w:rsid w:val="321076FB"/>
    <w:rsid w:val="32847C39"/>
    <w:rsid w:val="32A04C05"/>
    <w:rsid w:val="32A6248F"/>
    <w:rsid w:val="32AD005F"/>
    <w:rsid w:val="32CA0754"/>
    <w:rsid w:val="32E142BD"/>
    <w:rsid w:val="32E97281"/>
    <w:rsid w:val="330B1B18"/>
    <w:rsid w:val="33190D50"/>
    <w:rsid w:val="332B4082"/>
    <w:rsid w:val="333150FA"/>
    <w:rsid w:val="335A3E41"/>
    <w:rsid w:val="3371080D"/>
    <w:rsid w:val="337A5060"/>
    <w:rsid w:val="337C28D9"/>
    <w:rsid w:val="338A1047"/>
    <w:rsid w:val="338F0C8E"/>
    <w:rsid w:val="33BF7622"/>
    <w:rsid w:val="33E522AE"/>
    <w:rsid w:val="34005FC8"/>
    <w:rsid w:val="34190A78"/>
    <w:rsid w:val="347B635D"/>
    <w:rsid w:val="34CE7F70"/>
    <w:rsid w:val="34E0123D"/>
    <w:rsid w:val="35733074"/>
    <w:rsid w:val="3619003A"/>
    <w:rsid w:val="36192E6B"/>
    <w:rsid w:val="362175C5"/>
    <w:rsid w:val="36226B9B"/>
    <w:rsid w:val="3647581B"/>
    <w:rsid w:val="36581519"/>
    <w:rsid w:val="36680837"/>
    <w:rsid w:val="367B4CB0"/>
    <w:rsid w:val="369776AD"/>
    <w:rsid w:val="36D20DE8"/>
    <w:rsid w:val="36D641EB"/>
    <w:rsid w:val="36E52680"/>
    <w:rsid w:val="36FF3D51"/>
    <w:rsid w:val="37102855"/>
    <w:rsid w:val="37393774"/>
    <w:rsid w:val="37872ACB"/>
    <w:rsid w:val="379B5C52"/>
    <w:rsid w:val="379F67D5"/>
    <w:rsid w:val="37AF004D"/>
    <w:rsid w:val="37F83A9A"/>
    <w:rsid w:val="383C657E"/>
    <w:rsid w:val="38401BDC"/>
    <w:rsid w:val="3847275D"/>
    <w:rsid w:val="38DC258D"/>
    <w:rsid w:val="38EA65B2"/>
    <w:rsid w:val="38FB54FE"/>
    <w:rsid w:val="392E0010"/>
    <w:rsid w:val="39853846"/>
    <w:rsid w:val="39961164"/>
    <w:rsid w:val="39C24EFB"/>
    <w:rsid w:val="39DB6C7C"/>
    <w:rsid w:val="39DD73FF"/>
    <w:rsid w:val="39F47012"/>
    <w:rsid w:val="3A605CE8"/>
    <w:rsid w:val="3A6532D0"/>
    <w:rsid w:val="3A685AA2"/>
    <w:rsid w:val="3A6F5E91"/>
    <w:rsid w:val="3A8300E2"/>
    <w:rsid w:val="3A995849"/>
    <w:rsid w:val="3AC2118A"/>
    <w:rsid w:val="3AE775AB"/>
    <w:rsid w:val="3AE854F4"/>
    <w:rsid w:val="3B0C529D"/>
    <w:rsid w:val="3B282004"/>
    <w:rsid w:val="3B2D45F6"/>
    <w:rsid w:val="3BCB7BDD"/>
    <w:rsid w:val="3BD47338"/>
    <w:rsid w:val="3BFF7E15"/>
    <w:rsid w:val="3C150A61"/>
    <w:rsid w:val="3C3A6FCB"/>
    <w:rsid w:val="3C861138"/>
    <w:rsid w:val="3C977042"/>
    <w:rsid w:val="3CA051A6"/>
    <w:rsid w:val="3CB019CB"/>
    <w:rsid w:val="3CC05910"/>
    <w:rsid w:val="3CD00C43"/>
    <w:rsid w:val="3CD55C3B"/>
    <w:rsid w:val="3CD63197"/>
    <w:rsid w:val="3CD6682C"/>
    <w:rsid w:val="3CFE1C9A"/>
    <w:rsid w:val="3D214BBE"/>
    <w:rsid w:val="3D7510A3"/>
    <w:rsid w:val="3D926397"/>
    <w:rsid w:val="3D954682"/>
    <w:rsid w:val="3D96698C"/>
    <w:rsid w:val="3DD457C5"/>
    <w:rsid w:val="3DE11DF4"/>
    <w:rsid w:val="3E352AE6"/>
    <w:rsid w:val="3E425B2E"/>
    <w:rsid w:val="3E5550A6"/>
    <w:rsid w:val="3E691ACA"/>
    <w:rsid w:val="3E6A711F"/>
    <w:rsid w:val="3E6C6F77"/>
    <w:rsid w:val="3EBA6C83"/>
    <w:rsid w:val="3EC6328A"/>
    <w:rsid w:val="3EC753A9"/>
    <w:rsid w:val="3ECD573A"/>
    <w:rsid w:val="3F395688"/>
    <w:rsid w:val="3F594F28"/>
    <w:rsid w:val="3F7446B2"/>
    <w:rsid w:val="40264D7D"/>
    <w:rsid w:val="40703237"/>
    <w:rsid w:val="40A246FB"/>
    <w:rsid w:val="40AF3339"/>
    <w:rsid w:val="40B7112C"/>
    <w:rsid w:val="40CF3AB0"/>
    <w:rsid w:val="40D73371"/>
    <w:rsid w:val="40E816EB"/>
    <w:rsid w:val="4117533E"/>
    <w:rsid w:val="411B0E41"/>
    <w:rsid w:val="417476A2"/>
    <w:rsid w:val="417C11A0"/>
    <w:rsid w:val="41E01A69"/>
    <w:rsid w:val="41E6152B"/>
    <w:rsid w:val="41FF217A"/>
    <w:rsid w:val="4231032A"/>
    <w:rsid w:val="425012F6"/>
    <w:rsid w:val="42614A73"/>
    <w:rsid w:val="428633F7"/>
    <w:rsid w:val="4292571C"/>
    <w:rsid w:val="42B2161E"/>
    <w:rsid w:val="42C069BE"/>
    <w:rsid w:val="42F151EA"/>
    <w:rsid w:val="42F71348"/>
    <w:rsid w:val="432228B2"/>
    <w:rsid w:val="43290357"/>
    <w:rsid w:val="43387918"/>
    <w:rsid w:val="436276E5"/>
    <w:rsid w:val="43AF28AA"/>
    <w:rsid w:val="441D7343"/>
    <w:rsid w:val="44BF7900"/>
    <w:rsid w:val="44D46174"/>
    <w:rsid w:val="44F72960"/>
    <w:rsid w:val="452314A3"/>
    <w:rsid w:val="45396192"/>
    <w:rsid w:val="453A76CC"/>
    <w:rsid w:val="456C06BB"/>
    <w:rsid w:val="45734E1F"/>
    <w:rsid w:val="45C73B2E"/>
    <w:rsid w:val="45D748C0"/>
    <w:rsid w:val="46223947"/>
    <w:rsid w:val="46250664"/>
    <w:rsid w:val="465279DD"/>
    <w:rsid w:val="4661284A"/>
    <w:rsid w:val="46621512"/>
    <w:rsid w:val="46630B86"/>
    <w:rsid w:val="469A7C8F"/>
    <w:rsid w:val="469F107F"/>
    <w:rsid w:val="46B3367C"/>
    <w:rsid w:val="46EB7835"/>
    <w:rsid w:val="47374B27"/>
    <w:rsid w:val="476279E6"/>
    <w:rsid w:val="47AB3446"/>
    <w:rsid w:val="480D232E"/>
    <w:rsid w:val="48163A7C"/>
    <w:rsid w:val="481E656A"/>
    <w:rsid w:val="48564979"/>
    <w:rsid w:val="48577C33"/>
    <w:rsid w:val="485B27A2"/>
    <w:rsid w:val="48682076"/>
    <w:rsid w:val="488033F0"/>
    <w:rsid w:val="48DB4B78"/>
    <w:rsid w:val="48F16DA9"/>
    <w:rsid w:val="49044CF5"/>
    <w:rsid w:val="490B17C7"/>
    <w:rsid w:val="492052E3"/>
    <w:rsid w:val="4941749D"/>
    <w:rsid w:val="496626B2"/>
    <w:rsid w:val="496B74C1"/>
    <w:rsid w:val="49715C0D"/>
    <w:rsid w:val="498022AA"/>
    <w:rsid w:val="49B55609"/>
    <w:rsid w:val="49CC2011"/>
    <w:rsid w:val="49D95B16"/>
    <w:rsid w:val="49EF7E61"/>
    <w:rsid w:val="4A3C7E3F"/>
    <w:rsid w:val="4A484BAD"/>
    <w:rsid w:val="4A70253F"/>
    <w:rsid w:val="4A7B3366"/>
    <w:rsid w:val="4A802D4A"/>
    <w:rsid w:val="4A8C7E19"/>
    <w:rsid w:val="4AA66C30"/>
    <w:rsid w:val="4ACC7DF0"/>
    <w:rsid w:val="4B112C0A"/>
    <w:rsid w:val="4B11743D"/>
    <w:rsid w:val="4B1F142D"/>
    <w:rsid w:val="4B3C2EAA"/>
    <w:rsid w:val="4B5F7F17"/>
    <w:rsid w:val="4B6D108D"/>
    <w:rsid w:val="4B810527"/>
    <w:rsid w:val="4B9A10F9"/>
    <w:rsid w:val="4BF11A7D"/>
    <w:rsid w:val="4BF82CAB"/>
    <w:rsid w:val="4BFB6AE8"/>
    <w:rsid w:val="4C69045A"/>
    <w:rsid w:val="4C7940F6"/>
    <w:rsid w:val="4C970636"/>
    <w:rsid w:val="4CA37BB8"/>
    <w:rsid w:val="4CCB601A"/>
    <w:rsid w:val="4D0673CE"/>
    <w:rsid w:val="4D0C41D4"/>
    <w:rsid w:val="4D0F37D5"/>
    <w:rsid w:val="4D3C551E"/>
    <w:rsid w:val="4D985777"/>
    <w:rsid w:val="4DDB4F76"/>
    <w:rsid w:val="4DF13C89"/>
    <w:rsid w:val="4E0842B6"/>
    <w:rsid w:val="4E0E6D93"/>
    <w:rsid w:val="4E681683"/>
    <w:rsid w:val="4E734348"/>
    <w:rsid w:val="4E964261"/>
    <w:rsid w:val="4EA97825"/>
    <w:rsid w:val="4EDE0D88"/>
    <w:rsid w:val="4EFD7DEC"/>
    <w:rsid w:val="4F1122CC"/>
    <w:rsid w:val="4F2E0C11"/>
    <w:rsid w:val="4F3949B2"/>
    <w:rsid w:val="4F4F1B11"/>
    <w:rsid w:val="4F756840"/>
    <w:rsid w:val="4F792BB3"/>
    <w:rsid w:val="4F9B465A"/>
    <w:rsid w:val="4FA964E9"/>
    <w:rsid w:val="4FD05267"/>
    <w:rsid w:val="4FD7397B"/>
    <w:rsid w:val="4FD9106D"/>
    <w:rsid w:val="4FE17E02"/>
    <w:rsid w:val="50147771"/>
    <w:rsid w:val="50290234"/>
    <w:rsid w:val="50403C4F"/>
    <w:rsid w:val="505903FE"/>
    <w:rsid w:val="50860C66"/>
    <w:rsid w:val="50F2592C"/>
    <w:rsid w:val="5121539C"/>
    <w:rsid w:val="513618D2"/>
    <w:rsid w:val="51B07713"/>
    <w:rsid w:val="51B10177"/>
    <w:rsid w:val="52164877"/>
    <w:rsid w:val="521D40C4"/>
    <w:rsid w:val="5265306D"/>
    <w:rsid w:val="526877EC"/>
    <w:rsid w:val="5289032A"/>
    <w:rsid w:val="52963BD2"/>
    <w:rsid w:val="529C04FF"/>
    <w:rsid w:val="52C305CF"/>
    <w:rsid w:val="53405561"/>
    <w:rsid w:val="535B5022"/>
    <w:rsid w:val="53600359"/>
    <w:rsid w:val="536C4A01"/>
    <w:rsid w:val="538744AF"/>
    <w:rsid w:val="538B5694"/>
    <w:rsid w:val="53E40E03"/>
    <w:rsid w:val="53E810A7"/>
    <w:rsid w:val="53F6607F"/>
    <w:rsid w:val="54050ED5"/>
    <w:rsid w:val="54164324"/>
    <w:rsid w:val="54177EC5"/>
    <w:rsid w:val="543D4689"/>
    <w:rsid w:val="543E18F6"/>
    <w:rsid w:val="54602CFC"/>
    <w:rsid w:val="54C95D07"/>
    <w:rsid w:val="54E460B0"/>
    <w:rsid w:val="55064386"/>
    <w:rsid w:val="551B39E5"/>
    <w:rsid w:val="5566221B"/>
    <w:rsid w:val="557B554F"/>
    <w:rsid w:val="55AB4FAB"/>
    <w:rsid w:val="55BB4CB0"/>
    <w:rsid w:val="55C82504"/>
    <w:rsid w:val="55FB17C9"/>
    <w:rsid w:val="55FE2BB8"/>
    <w:rsid w:val="56176691"/>
    <w:rsid w:val="569702EC"/>
    <w:rsid w:val="56983D28"/>
    <w:rsid w:val="56BA72EB"/>
    <w:rsid w:val="56BB06CA"/>
    <w:rsid w:val="56D07291"/>
    <w:rsid w:val="56DD3A48"/>
    <w:rsid w:val="5701276D"/>
    <w:rsid w:val="574B04B5"/>
    <w:rsid w:val="57592A20"/>
    <w:rsid w:val="57BD744F"/>
    <w:rsid w:val="57DD267F"/>
    <w:rsid w:val="57FA00E3"/>
    <w:rsid w:val="58090CFB"/>
    <w:rsid w:val="580F6B01"/>
    <w:rsid w:val="582C35DF"/>
    <w:rsid w:val="58792BF2"/>
    <w:rsid w:val="58C22F5C"/>
    <w:rsid w:val="58D16E11"/>
    <w:rsid w:val="590C6A1B"/>
    <w:rsid w:val="592F310D"/>
    <w:rsid w:val="59451E3E"/>
    <w:rsid w:val="595A0848"/>
    <w:rsid w:val="59652F57"/>
    <w:rsid w:val="5974429D"/>
    <w:rsid w:val="597D50E1"/>
    <w:rsid w:val="59834B6E"/>
    <w:rsid w:val="59847115"/>
    <w:rsid w:val="59AB4C01"/>
    <w:rsid w:val="59C27801"/>
    <w:rsid w:val="59F57544"/>
    <w:rsid w:val="5A186745"/>
    <w:rsid w:val="5A215F99"/>
    <w:rsid w:val="5A59564E"/>
    <w:rsid w:val="5A7B1263"/>
    <w:rsid w:val="5AAD32F8"/>
    <w:rsid w:val="5AB07128"/>
    <w:rsid w:val="5B1322DC"/>
    <w:rsid w:val="5B1B1A12"/>
    <w:rsid w:val="5B4F6AD6"/>
    <w:rsid w:val="5B6777CF"/>
    <w:rsid w:val="5B76035F"/>
    <w:rsid w:val="5B7B132E"/>
    <w:rsid w:val="5C101818"/>
    <w:rsid w:val="5C1A0475"/>
    <w:rsid w:val="5C713C9B"/>
    <w:rsid w:val="5C724C97"/>
    <w:rsid w:val="5C872696"/>
    <w:rsid w:val="5CB05B46"/>
    <w:rsid w:val="5CE44548"/>
    <w:rsid w:val="5D015C97"/>
    <w:rsid w:val="5D060D9B"/>
    <w:rsid w:val="5D1E5CC0"/>
    <w:rsid w:val="5D431B11"/>
    <w:rsid w:val="5D921526"/>
    <w:rsid w:val="5DA009A2"/>
    <w:rsid w:val="5DC3632A"/>
    <w:rsid w:val="5DD61BEC"/>
    <w:rsid w:val="5E0B2AB2"/>
    <w:rsid w:val="5E3006FC"/>
    <w:rsid w:val="5E5D447D"/>
    <w:rsid w:val="5E883881"/>
    <w:rsid w:val="5E8A4D2C"/>
    <w:rsid w:val="5EAA1527"/>
    <w:rsid w:val="5EC17B88"/>
    <w:rsid w:val="5ECF652B"/>
    <w:rsid w:val="5EE06678"/>
    <w:rsid w:val="5F016264"/>
    <w:rsid w:val="5F0A5CD1"/>
    <w:rsid w:val="5F540D88"/>
    <w:rsid w:val="5F6C6434"/>
    <w:rsid w:val="5F6F4E1B"/>
    <w:rsid w:val="5F9B17DA"/>
    <w:rsid w:val="5FF8108D"/>
    <w:rsid w:val="602E3513"/>
    <w:rsid w:val="605A67F3"/>
    <w:rsid w:val="605E330A"/>
    <w:rsid w:val="60667593"/>
    <w:rsid w:val="60945442"/>
    <w:rsid w:val="60987506"/>
    <w:rsid w:val="609C6396"/>
    <w:rsid w:val="60A64945"/>
    <w:rsid w:val="60B375B6"/>
    <w:rsid w:val="60BC4643"/>
    <w:rsid w:val="60F05B16"/>
    <w:rsid w:val="611A0173"/>
    <w:rsid w:val="612000FC"/>
    <w:rsid w:val="61714492"/>
    <w:rsid w:val="61A02657"/>
    <w:rsid w:val="61CC4802"/>
    <w:rsid w:val="61E9579B"/>
    <w:rsid w:val="62072ADB"/>
    <w:rsid w:val="621572FB"/>
    <w:rsid w:val="62367075"/>
    <w:rsid w:val="6239065D"/>
    <w:rsid w:val="6254658F"/>
    <w:rsid w:val="62BB32D0"/>
    <w:rsid w:val="62C10A7D"/>
    <w:rsid w:val="62E548D0"/>
    <w:rsid w:val="62F87EE0"/>
    <w:rsid w:val="631D07E8"/>
    <w:rsid w:val="633F70D3"/>
    <w:rsid w:val="635B3CE0"/>
    <w:rsid w:val="63663D9A"/>
    <w:rsid w:val="638D009D"/>
    <w:rsid w:val="643F2D0C"/>
    <w:rsid w:val="647B072E"/>
    <w:rsid w:val="64873209"/>
    <w:rsid w:val="64C566D6"/>
    <w:rsid w:val="64EA48A0"/>
    <w:rsid w:val="64FA6947"/>
    <w:rsid w:val="64FB5B74"/>
    <w:rsid w:val="651631B2"/>
    <w:rsid w:val="651A09E5"/>
    <w:rsid w:val="652111A6"/>
    <w:rsid w:val="655B72D4"/>
    <w:rsid w:val="656E2797"/>
    <w:rsid w:val="65875291"/>
    <w:rsid w:val="659A5186"/>
    <w:rsid w:val="659E6B58"/>
    <w:rsid w:val="65A17118"/>
    <w:rsid w:val="65AB7131"/>
    <w:rsid w:val="65B14B87"/>
    <w:rsid w:val="65BA0536"/>
    <w:rsid w:val="65CA05BE"/>
    <w:rsid w:val="65CB23FE"/>
    <w:rsid w:val="66405F33"/>
    <w:rsid w:val="66593659"/>
    <w:rsid w:val="665D0041"/>
    <w:rsid w:val="66617E7F"/>
    <w:rsid w:val="666555E1"/>
    <w:rsid w:val="668E734D"/>
    <w:rsid w:val="66B34E98"/>
    <w:rsid w:val="66CC00C4"/>
    <w:rsid w:val="66DD47C2"/>
    <w:rsid w:val="66EF6F78"/>
    <w:rsid w:val="670E6390"/>
    <w:rsid w:val="67476A7F"/>
    <w:rsid w:val="674A17BB"/>
    <w:rsid w:val="67852EF7"/>
    <w:rsid w:val="678D3D0D"/>
    <w:rsid w:val="679D3C2A"/>
    <w:rsid w:val="67EE189A"/>
    <w:rsid w:val="67F81964"/>
    <w:rsid w:val="67FD1117"/>
    <w:rsid w:val="67FE7031"/>
    <w:rsid w:val="681864B5"/>
    <w:rsid w:val="682A663B"/>
    <w:rsid w:val="684314EB"/>
    <w:rsid w:val="684D12B7"/>
    <w:rsid w:val="684E09DB"/>
    <w:rsid w:val="68A7002D"/>
    <w:rsid w:val="68C36DD4"/>
    <w:rsid w:val="68F43AC7"/>
    <w:rsid w:val="68FC1C71"/>
    <w:rsid w:val="690B42DE"/>
    <w:rsid w:val="690F3296"/>
    <w:rsid w:val="69116A1C"/>
    <w:rsid w:val="69224EEB"/>
    <w:rsid w:val="69762EBA"/>
    <w:rsid w:val="69807E63"/>
    <w:rsid w:val="69BD2C10"/>
    <w:rsid w:val="69C17440"/>
    <w:rsid w:val="69CC4765"/>
    <w:rsid w:val="69E13279"/>
    <w:rsid w:val="69ED48DA"/>
    <w:rsid w:val="6A650958"/>
    <w:rsid w:val="6A7A7A16"/>
    <w:rsid w:val="6A9357CC"/>
    <w:rsid w:val="6A9E675D"/>
    <w:rsid w:val="6AA33973"/>
    <w:rsid w:val="6AAF0A00"/>
    <w:rsid w:val="6ACD4F6A"/>
    <w:rsid w:val="6B106431"/>
    <w:rsid w:val="6B1963D8"/>
    <w:rsid w:val="6B7261B2"/>
    <w:rsid w:val="6B8A4FC9"/>
    <w:rsid w:val="6BCB6904"/>
    <w:rsid w:val="6C0A2C97"/>
    <w:rsid w:val="6C292A34"/>
    <w:rsid w:val="6C574F1F"/>
    <w:rsid w:val="6C685E75"/>
    <w:rsid w:val="6C7D6A5C"/>
    <w:rsid w:val="6CBA1C8D"/>
    <w:rsid w:val="6CCA263E"/>
    <w:rsid w:val="6CE86A38"/>
    <w:rsid w:val="6D521C5F"/>
    <w:rsid w:val="6D7567E8"/>
    <w:rsid w:val="6D8A5498"/>
    <w:rsid w:val="6DE0413C"/>
    <w:rsid w:val="6DEF07A4"/>
    <w:rsid w:val="6DFF60C4"/>
    <w:rsid w:val="6E2B67E5"/>
    <w:rsid w:val="6E89534C"/>
    <w:rsid w:val="6E8F2F26"/>
    <w:rsid w:val="6EA46189"/>
    <w:rsid w:val="6EB508A7"/>
    <w:rsid w:val="6EC649AF"/>
    <w:rsid w:val="6EE37430"/>
    <w:rsid w:val="6F656530"/>
    <w:rsid w:val="6F697BE3"/>
    <w:rsid w:val="6F8403EB"/>
    <w:rsid w:val="6F8F578E"/>
    <w:rsid w:val="6F9C75E6"/>
    <w:rsid w:val="6FB84DE8"/>
    <w:rsid w:val="6FC55EA6"/>
    <w:rsid w:val="6FF41551"/>
    <w:rsid w:val="6FF624AC"/>
    <w:rsid w:val="6FFA1649"/>
    <w:rsid w:val="70241894"/>
    <w:rsid w:val="7025320B"/>
    <w:rsid w:val="702F225B"/>
    <w:rsid w:val="70645EF7"/>
    <w:rsid w:val="707B09DA"/>
    <w:rsid w:val="708C2207"/>
    <w:rsid w:val="70BB337D"/>
    <w:rsid w:val="70D94361"/>
    <w:rsid w:val="70E14633"/>
    <w:rsid w:val="70F9269A"/>
    <w:rsid w:val="71114641"/>
    <w:rsid w:val="712754BB"/>
    <w:rsid w:val="71350EE0"/>
    <w:rsid w:val="714737A1"/>
    <w:rsid w:val="71565343"/>
    <w:rsid w:val="716A4121"/>
    <w:rsid w:val="716A4DBB"/>
    <w:rsid w:val="716D67DE"/>
    <w:rsid w:val="71737AF2"/>
    <w:rsid w:val="71746AA2"/>
    <w:rsid w:val="718962D7"/>
    <w:rsid w:val="719A47D5"/>
    <w:rsid w:val="72346A30"/>
    <w:rsid w:val="723D776A"/>
    <w:rsid w:val="724835A4"/>
    <w:rsid w:val="729F1ABB"/>
    <w:rsid w:val="72BE1468"/>
    <w:rsid w:val="72C30217"/>
    <w:rsid w:val="72EC55AC"/>
    <w:rsid w:val="72F400AE"/>
    <w:rsid w:val="73444723"/>
    <w:rsid w:val="7389130B"/>
    <w:rsid w:val="7395044E"/>
    <w:rsid w:val="73A54BD6"/>
    <w:rsid w:val="73AC5028"/>
    <w:rsid w:val="742130C4"/>
    <w:rsid w:val="74285B05"/>
    <w:rsid w:val="743957DE"/>
    <w:rsid w:val="744F48B0"/>
    <w:rsid w:val="745D3F54"/>
    <w:rsid w:val="747F4504"/>
    <w:rsid w:val="74A93D6C"/>
    <w:rsid w:val="74B079ED"/>
    <w:rsid w:val="74CB5717"/>
    <w:rsid w:val="750E4D0B"/>
    <w:rsid w:val="751A6E8F"/>
    <w:rsid w:val="751B4CA1"/>
    <w:rsid w:val="753338F8"/>
    <w:rsid w:val="7547629B"/>
    <w:rsid w:val="75A747C4"/>
    <w:rsid w:val="75AB1194"/>
    <w:rsid w:val="75AC0740"/>
    <w:rsid w:val="75B3496C"/>
    <w:rsid w:val="75BC40B9"/>
    <w:rsid w:val="75D562FC"/>
    <w:rsid w:val="75E73959"/>
    <w:rsid w:val="760468B5"/>
    <w:rsid w:val="761121ED"/>
    <w:rsid w:val="765C017C"/>
    <w:rsid w:val="76654D6B"/>
    <w:rsid w:val="76740C40"/>
    <w:rsid w:val="767605E8"/>
    <w:rsid w:val="7699576B"/>
    <w:rsid w:val="76A4273A"/>
    <w:rsid w:val="76A61E3E"/>
    <w:rsid w:val="76D85E44"/>
    <w:rsid w:val="772E0C0B"/>
    <w:rsid w:val="77C835A6"/>
    <w:rsid w:val="7817711D"/>
    <w:rsid w:val="782008AC"/>
    <w:rsid w:val="7826722D"/>
    <w:rsid w:val="783024EE"/>
    <w:rsid w:val="78363F22"/>
    <w:rsid w:val="784367A9"/>
    <w:rsid w:val="78451BA4"/>
    <w:rsid w:val="78567CE1"/>
    <w:rsid w:val="78586709"/>
    <w:rsid w:val="788E7FF8"/>
    <w:rsid w:val="78B80C46"/>
    <w:rsid w:val="78BD3DDE"/>
    <w:rsid w:val="78F56A44"/>
    <w:rsid w:val="79085223"/>
    <w:rsid w:val="791C5B65"/>
    <w:rsid w:val="792E0838"/>
    <w:rsid w:val="79323BDC"/>
    <w:rsid w:val="794948E9"/>
    <w:rsid w:val="79A75A82"/>
    <w:rsid w:val="79A84D70"/>
    <w:rsid w:val="7A0326A1"/>
    <w:rsid w:val="7A2534FF"/>
    <w:rsid w:val="7A47270C"/>
    <w:rsid w:val="7A4F02FB"/>
    <w:rsid w:val="7A7074D7"/>
    <w:rsid w:val="7A7500DE"/>
    <w:rsid w:val="7A7E2950"/>
    <w:rsid w:val="7A92078D"/>
    <w:rsid w:val="7AA80AE1"/>
    <w:rsid w:val="7AE574BC"/>
    <w:rsid w:val="7B477318"/>
    <w:rsid w:val="7B4930BF"/>
    <w:rsid w:val="7B63729E"/>
    <w:rsid w:val="7B776DA1"/>
    <w:rsid w:val="7BB327FD"/>
    <w:rsid w:val="7BC37734"/>
    <w:rsid w:val="7C093093"/>
    <w:rsid w:val="7C351D32"/>
    <w:rsid w:val="7C7F6B0B"/>
    <w:rsid w:val="7CB168D1"/>
    <w:rsid w:val="7CB811AC"/>
    <w:rsid w:val="7CCB166A"/>
    <w:rsid w:val="7CEA32DB"/>
    <w:rsid w:val="7D097848"/>
    <w:rsid w:val="7D145EB2"/>
    <w:rsid w:val="7D1466CF"/>
    <w:rsid w:val="7D1E7983"/>
    <w:rsid w:val="7D5C457C"/>
    <w:rsid w:val="7DAB60C4"/>
    <w:rsid w:val="7DD418DF"/>
    <w:rsid w:val="7DD906A6"/>
    <w:rsid w:val="7DF32D12"/>
    <w:rsid w:val="7E12314E"/>
    <w:rsid w:val="7E154217"/>
    <w:rsid w:val="7E156974"/>
    <w:rsid w:val="7E3050D6"/>
    <w:rsid w:val="7E305651"/>
    <w:rsid w:val="7E337651"/>
    <w:rsid w:val="7E367F89"/>
    <w:rsid w:val="7E48590C"/>
    <w:rsid w:val="7E7044F2"/>
    <w:rsid w:val="7E9C4409"/>
    <w:rsid w:val="7F297004"/>
    <w:rsid w:val="7F2E2D31"/>
    <w:rsid w:val="7F5B5FF6"/>
    <w:rsid w:val="7F627878"/>
    <w:rsid w:val="7FC623F6"/>
    <w:rsid w:val="7FCB5827"/>
    <w:rsid w:val="7FCE14C6"/>
    <w:rsid w:val="7FE91D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qFormat="1" w:unhideWhenUsed="0" w:uiPriority="0"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qFormat="1" w:uiPriority="0" w:name="List Number"/>
    <w:lsdException w:uiPriority="0" w:name="List 2"/>
    <w:lsdException w:qFormat="1" w:unhideWhenUsed="0" w:uiPriority="0" w:semiHidden="0" w:name="List 3"/>
    <w:lsdException w:uiPriority="0" w:name="List 4"/>
    <w:lsdException w:uiPriority="0" w:name="List 5"/>
    <w:lsdException w:uiPriority="0" w:name="List Bullet 2"/>
    <w:lsdException w:uiPriority="0" w:name="List Bullet 3"/>
    <w:lsdException w:uiPriority="0" w:name="List Bullet 4"/>
    <w:lsdException w:qFormat="1"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qFormat="1" w:unhideWhenUsed="0" w:uiPriority="0" w:semiHidden="0" w:name="Body Text Indent 2"/>
    <w:lsdException w:qFormat="1" w:unhideWhenUsed="0" w:uiPriority="0" w:semiHidden="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jc w:val="both"/>
    </w:pPr>
    <w:rPr>
      <w:rFonts w:ascii="Times New Roman" w:hAnsi="Times New Roman" w:eastAsia="宋体" w:cs="Times New Roman"/>
      <w:kern w:val="2"/>
      <w:sz w:val="21"/>
      <w:lang w:val="en-US" w:eastAsia="zh-CN" w:bidi="ar-SA"/>
    </w:rPr>
  </w:style>
  <w:style w:type="paragraph" w:styleId="4">
    <w:name w:val="heading 1"/>
    <w:basedOn w:val="1"/>
    <w:next w:val="1"/>
    <w:link w:val="55"/>
    <w:qFormat/>
    <w:uiPriority w:val="0"/>
    <w:pPr>
      <w:keepNext/>
      <w:keepLines/>
      <w:jc w:val="left"/>
      <w:outlineLvl w:val="0"/>
    </w:pPr>
    <w:rPr>
      <w:rFonts w:eastAsia="华文仿宋"/>
      <w:b/>
      <w:kern w:val="44"/>
      <w:sz w:val="28"/>
    </w:rPr>
  </w:style>
  <w:style w:type="paragraph" w:styleId="5">
    <w:name w:val="heading 2"/>
    <w:basedOn w:val="1"/>
    <w:next w:val="1"/>
    <w:link w:val="47"/>
    <w:qFormat/>
    <w:uiPriority w:val="0"/>
    <w:pPr>
      <w:keepNext/>
      <w:spacing w:beforeLines="50" w:afterLines="50"/>
      <w:outlineLvl w:val="1"/>
    </w:pPr>
    <w:rPr>
      <w:b/>
      <w:sz w:val="28"/>
    </w:rPr>
  </w:style>
  <w:style w:type="paragraph" w:styleId="6">
    <w:name w:val="heading 3"/>
    <w:basedOn w:val="1"/>
    <w:next w:val="1"/>
    <w:link w:val="63"/>
    <w:qFormat/>
    <w:uiPriority w:val="0"/>
    <w:pPr>
      <w:keepNext/>
      <w:keepLines/>
      <w:spacing w:line="360" w:lineRule="auto"/>
      <w:outlineLvl w:val="2"/>
    </w:pPr>
    <w:rPr>
      <w:bCs/>
      <w:sz w:val="28"/>
      <w:szCs w:val="32"/>
    </w:rPr>
  </w:style>
  <w:style w:type="paragraph" w:styleId="7">
    <w:name w:val="heading 4"/>
    <w:basedOn w:val="1"/>
    <w:next w:val="8"/>
    <w:link w:val="42"/>
    <w:qFormat/>
    <w:uiPriority w:val="0"/>
    <w:pPr>
      <w:keepNext/>
      <w:keepLines/>
      <w:spacing w:before="240" w:after="120"/>
      <w:jc w:val="center"/>
      <w:outlineLvl w:val="3"/>
    </w:pPr>
    <w:rPr>
      <w:rFonts w:ascii="Arial" w:hAnsi="Arial" w:eastAsia="仿宋_GB2312" w:cs="Arial"/>
      <w:b/>
      <w:sz w:val="24"/>
    </w:rPr>
  </w:style>
  <w:style w:type="paragraph" w:styleId="11">
    <w:name w:val="heading 9"/>
    <w:basedOn w:val="1"/>
    <w:next w:val="1"/>
    <w:link w:val="112"/>
    <w:semiHidden/>
    <w:unhideWhenUsed/>
    <w:qFormat/>
    <w:uiPriority w:val="0"/>
    <w:pPr>
      <w:keepNext/>
      <w:keepLines/>
      <w:spacing w:before="240" w:after="64" w:line="320" w:lineRule="auto"/>
      <w:outlineLvl w:val="8"/>
    </w:pPr>
    <w:rPr>
      <w:rFonts w:ascii="Cambria" w:hAnsi="Cambria"/>
      <w:szCs w:val="21"/>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Plain Text"/>
    <w:basedOn w:val="1"/>
    <w:next w:val="3"/>
    <w:link w:val="108"/>
    <w:qFormat/>
    <w:uiPriority w:val="0"/>
    <w:rPr>
      <w:rFonts w:ascii="宋体" w:hAnsi="Courier New"/>
      <w:sz w:val="24"/>
    </w:rPr>
  </w:style>
  <w:style w:type="paragraph" w:styleId="3">
    <w:name w:val="toc 1"/>
    <w:basedOn w:val="1"/>
    <w:next w:val="1"/>
    <w:qFormat/>
    <w:uiPriority w:val="39"/>
  </w:style>
  <w:style w:type="paragraph" w:styleId="8">
    <w:name w:val="Normal Indent"/>
    <w:basedOn w:val="1"/>
    <w:next w:val="9"/>
    <w:link w:val="57"/>
    <w:qFormat/>
    <w:uiPriority w:val="0"/>
    <w:pPr>
      <w:ind w:firstLine="420" w:firstLineChars="200"/>
    </w:pPr>
  </w:style>
  <w:style w:type="paragraph" w:styleId="9">
    <w:name w:val="Body Text"/>
    <w:basedOn w:val="1"/>
    <w:next w:val="10"/>
    <w:link w:val="52"/>
    <w:qFormat/>
    <w:uiPriority w:val="0"/>
    <w:pPr>
      <w:spacing w:after="120"/>
    </w:pPr>
  </w:style>
  <w:style w:type="paragraph" w:customStyle="1" w:styleId="10">
    <w:name w:val="明显引用1"/>
    <w:next w:val="1"/>
    <w:qFormat/>
    <w:uiPriority w:val="0"/>
    <w:pPr>
      <w:wordWrap w:val="0"/>
      <w:spacing w:before="360" w:after="360"/>
      <w:ind w:left="950" w:right="950"/>
      <w:jc w:val="center"/>
    </w:pPr>
    <w:rPr>
      <w:rFonts w:ascii="Times New Roman" w:hAnsi="Times New Roman" w:eastAsia="宋体" w:cs="Times New Roman"/>
      <w:i/>
      <w:sz w:val="21"/>
      <w:lang w:val="en-US" w:eastAsia="zh-CN" w:bidi="ar-SA"/>
    </w:rPr>
  </w:style>
  <w:style w:type="paragraph" w:styleId="12">
    <w:name w:val="List 3"/>
    <w:basedOn w:val="1"/>
    <w:qFormat/>
    <w:uiPriority w:val="0"/>
    <w:pPr>
      <w:ind w:left="100" w:leftChars="400" w:hanging="200" w:hangingChars="200"/>
      <w:contextualSpacing/>
    </w:pPr>
  </w:style>
  <w:style w:type="paragraph" w:styleId="13">
    <w:name w:val="List Number"/>
    <w:basedOn w:val="1"/>
    <w:semiHidden/>
    <w:unhideWhenUsed/>
    <w:qFormat/>
    <w:uiPriority w:val="0"/>
    <w:pPr>
      <w:numPr>
        <w:ilvl w:val="0"/>
        <w:numId w:val="1"/>
      </w:numPr>
    </w:pPr>
  </w:style>
  <w:style w:type="paragraph" w:styleId="14">
    <w:name w:val="caption"/>
    <w:basedOn w:val="1"/>
    <w:next w:val="1"/>
    <w:qFormat/>
    <w:uiPriority w:val="0"/>
    <w:rPr>
      <w:rFonts w:ascii="Cambria" w:hAnsi="Cambria" w:eastAsia="黑体"/>
      <w:sz w:val="20"/>
      <w:szCs w:val="20"/>
    </w:rPr>
  </w:style>
  <w:style w:type="paragraph" w:styleId="15">
    <w:name w:val="Document Map"/>
    <w:basedOn w:val="1"/>
    <w:link w:val="53"/>
    <w:qFormat/>
    <w:uiPriority w:val="0"/>
    <w:pPr>
      <w:widowControl w:val="0"/>
      <w:shd w:val="clear" w:color="auto" w:fill="000080"/>
    </w:pPr>
    <w:rPr>
      <w:szCs w:val="24"/>
    </w:rPr>
  </w:style>
  <w:style w:type="paragraph" w:styleId="16">
    <w:name w:val="annotation text"/>
    <w:basedOn w:val="1"/>
    <w:link w:val="58"/>
    <w:qFormat/>
    <w:uiPriority w:val="0"/>
    <w:pPr>
      <w:jc w:val="left"/>
    </w:pPr>
  </w:style>
  <w:style w:type="paragraph" w:styleId="17">
    <w:name w:val="Body Text Indent"/>
    <w:basedOn w:val="1"/>
    <w:link w:val="46"/>
    <w:qFormat/>
    <w:uiPriority w:val="0"/>
    <w:pPr>
      <w:spacing w:after="120"/>
      <w:ind w:left="420" w:leftChars="200"/>
    </w:pPr>
  </w:style>
  <w:style w:type="paragraph" w:styleId="18">
    <w:name w:val="toc 3"/>
    <w:basedOn w:val="1"/>
    <w:next w:val="1"/>
    <w:qFormat/>
    <w:uiPriority w:val="0"/>
    <w:pPr>
      <w:ind w:left="840" w:leftChars="400"/>
    </w:pPr>
  </w:style>
  <w:style w:type="paragraph" w:styleId="19">
    <w:name w:val="List Bullet 5"/>
    <w:basedOn w:val="1"/>
    <w:semiHidden/>
    <w:unhideWhenUsed/>
    <w:qFormat/>
    <w:uiPriority w:val="0"/>
    <w:pPr>
      <w:numPr>
        <w:ilvl w:val="0"/>
        <w:numId w:val="2"/>
      </w:numPr>
    </w:pPr>
  </w:style>
  <w:style w:type="paragraph" w:styleId="20">
    <w:name w:val="Date"/>
    <w:basedOn w:val="1"/>
    <w:next w:val="1"/>
    <w:link w:val="62"/>
    <w:qFormat/>
    <w:uiPriority w:val="0"/>
    <w:pPr>
      <w:ind w:left="100" w:leftChars="2500"/>
    </w:pPr>
  </w:style>
  <w:style w:type="paragraph" w:styleId="21">
    <w:name w:val="Body Text Indent 2"/>
    <w:basedOn w:val="1"/>
    <w:qFormat/>
    <w:uiPriority w:val="0"/>
    <w:pPr>
      <w:spacing w:line="420" w:lineRule="exact"/>
      <w:ind w:right="-6" w:rightChars="-3" w:firstLine="600" w:firstLineChars="200"/>
    </w:pPr>
    <w:rPr>
      <w:rFonts w:ascii="仿宋_GB2312" w:eastAsia="仿宋_GB2312"/>
      <w:sz w:val="30"/>
    </w:rPr>
  </w:style>
  <w:style w:type="paragraph" w:styleId="22">
    <w:name w:val="Balloon Text"/>
    <w:basedOn w:val="1"/>
    <w:link w:val="43"/>
    <w:qFormat/>
    <w:uiPriority w:val="0"/>
    <w:rPr>
      <w:sz w:val="18"/>
      <w:szCs w:val="18"/>
    </w:rPr>
  </w:style>
  <w:style w:type="paragraph" w:styleId="23">
    <w:name w:val="footer"/>
    <w:basedOn w:val="1"/>
    <w:link w:val="48"/>
    <w:qFormat/>
    <w:uiPriority w:val="99"/>
    <w:pPr>
      <w:tabs>
        <w:tab w:val="center" w:pos="4153"/>
        <w:tab w:val="right" w:pos="8306"/>
      </w:tabs>
      <w:snapToGrid w:val="0"/>
      <w:jc w:val="left"/>
    </w:pPr>
    <w:rPr>
      <w:sz w:val="18"/>
      <w:szCs w:val="18"/>
    </w:rPr>
  </w:style>
  <w:style w:type="paragraph" w:styleId="24">
    <w:name w:val="header"/>
    <w:basedOn w:val="1"/>
    <w:link w:val="40"/>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5">
    <w:name w:val="List"/>
    <w:basedOn w:val="1"/>
    <w:qFormat/>
    <w:uiPriority w:val="0"/>
    <w:pPr>
      <w:spacing w:line="320" w:lineRule="exact"/>
      <w:jc w:val="center"/>
    </w:pPr>
    <w:rPr>
      <w:sz w:val="22"/>
    </w:rPr>
  </w:style>
  <w:style w:type="paragraph" w:styleId="26">
    <w:name w:val="Body Text Indent 3"/>
    <w:basedOn w:val="1"/>
    <w:qFormat/>
    <w:uiPriority w:val="0"/>
    <w:pPr>
      <w:ind w:firstLine="560" w:firstLineChars="200"/>
    </w:pPr>
    <w:rPr>
      <w:color w:val="FF0000"/>
    </w:rPr>
  </w:style>
  <w:style w:type="paragraph" w:styleId="27">
    <w:name w:val="toc 2"/>
    <w:basedOn w:val="1"/>
    <w:next w:val="1"/>
    <w:qFormat/>
    <w:uiPriority w:val="0"/>
    <w:pPr>
      <w:ind w:left="420" w:leftChars="200"/>
    </w:pPr>
  </w:style>
  <w:style w:type="paragraph" w:styleId="28">
    <w:name w:val="Normal (Web)"/>
    <w:basedOn w:val="1"/>
    <w:link w:val="41"/>
    <w:qFormat/>
    <w:uiPriority w:val="99"/>
    <w:pPr>
      <w:spacing w:beforeAutospacing="1" w:afterAutospacing="1"/>
      <w:jc w:val="left"/>
    </w:pPr>
    <w:rPr>
      <w:kern w:val="0"/>
      <w:sz w:val="24"/>
    </w:rPr>
  </w:style>
  <w:style w:type="paragraph" w:styleId="29">
    <w:name w:val="annotation subject"/>
    <w:basedOn w:val="16"/>
    <w:next w:val="16"/>
    <w:link w:val="54"/>
    <w:qFormat/>
    <w:uiPriority w:val="0"/>
    <w:rPr>
      <w:b/>
      <w:bCs/>
    </w:rPr>
  </w:style>
  <w:style w:type="paragraph" w:styleId="30">
    <w:name w:val="Body Text First Indent"/>
    <w:basedOn w:val="9"/>
    <w:qFormat/>
    <w:uiPriority w:val="0"/>
    <w:pPr>
      <w:topLinePunct/>
      <w:adjustRightInd w:val="0"/>
      <w:snapToGrid w:val="0"/>
      <w:spacing w:line="360" w:lineRule="auto"/>
      <w:ind w:firstLine="480" w:firstLineChars="200"/>
    </w:pPr>
    <w:rPr>
      <w:rFonts w:eastAsia="Bookman Old Style"/>
      <w:color w:val="000000"/>
      <w:kern w:val="0"/>
      <w:sz w:val="24"/>
    </w:rPr>
  </w:style>
  <w:style w:type="paragraph" w:styleId="31">
    <w:name w:val="Body Text First Indent 2"/>
    <w:basedOn w:val="1"/>
    <w:next w:val="1"/>
    <w:link w:val="45"/>
    <w:qFormat/>
    <w:uiPriority w:val="0"/>
    <w:pPr>
      <w:ind w:firstLine="420" w:firstLineChars="200"/>
    </w:pPr>
  </w:style>
  <w:style w:type="table" w:styleId="33">
    <w:name w:val="Table Grid"/>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5">
    <w:name w:val="Strong"/>
    <w:qFormat/>
    <w:uiPriority w:val="0"/>
    <w:rPr>
      <w:b/>
    </w:rPr>
  </w:style>
  <w:style w:type="character" w:styleId="36">
    <w:name w:val="page number"/>
    <w:basedOn w:val="34"/>
    <w:qFormat/>
    <w:uiPriority w:val="0"/>
  </w:style>
  <w:style w:type="character" w:styleId="37">
    <w:name w:val="Hyperlink"/>
    <w:unhideWhenUsed/>
    <w:qFormat/>
    <w:uiPriority w:val="99"/>
    <w:rPr>
      <w:color w:val="0563C1"/>
      <w:u w:val="single"/>
    </w:rPr>
  </w:style>
  <w:style w:type="character" w:styleId="38">
    <w:name w:val="annotation reference"/>
    <w:qFormat/>
    <w:uiPriority w:val="0"/>
    <w:rPr>
      <w:sz w:val="21"/>
      <w:szCs w:val="21"/>
    </w:rPr>
  </w:style>
  <w:style w:type="paragraph" w:customStyle="1" w:styleId="39">
    <w:name w:val="正文首行缩进2个字 Char"/>
    <w:basedOn w:val="1"/>
    <w:qFormat/>
    <w:uiPriority w:val="0"/>
    <w:pPr>
      <w:ind w:firstLine="480" w:firstLineChars="200"/>
    </w:pPr>
    <w:rPr>
      <w:rFonts w:eastAsia="楷体"/>
      <w:sz w:val="24"/>
      <w:szCs w:val="24"/>
    </w:rPr>
  </w:style>
  <w:style w:type="character" w:customStyle="1" w:styleId="40">
    <w:name w:val="页眉 Char"/>
    <w:link w:val="24"/>
    <w:qFormat/>
    <w:uiPriority w:val="0"/>
    <w:rPr>
      <w:kern w:val="2"/>
      <w:sz w:val="18"/>
    </w:rPr>
  </w:style>
  <w:style w:type="character" w:customStyle="1" w:styleId="41">
    <w:name w:val="普通(网站) Char"/>
    <w:link w:val="28"/>
    <w:qFormat/>
    <w:uiPriority w:val="0"/>
    <w:rPr>
      <w:sz w:val="24"/>
    </w:rPr>
  </w:style>
  <w:style w:type="character" w:customStyle="1" w:styleId="42">
    <w:name w:val="标题 4 Char"/>
    <w:link w:val="7"/>
    <w:qFormat/>
    <w:uiPriority w:val="0"/>
    <w:rPr>
      <w:rFonts w:ascii="Arial" w:hAnsi="Arial" w:eastAsia="仿宋_GB2312" w:cs="Arial"/>
      <w:b/>
      <w:kern w:val="2"/>
      <w:sz w:val="24"/>
    </w:rPr>
  </w:style>
  <w:style w:type="character" w:customStyle="1" w:styleId="43">
    <w:name w:val="批注框文本 Char"/>
    <w:link w:val="22"/>
    <w:qFormat/>
    <w:uiPriority w:val="0"/>
    <w:rPr>
      <w:rFonts w:ascii="Calibri" w:hAnsi="Calibri" w:cs="Times New Roman"/>
      <w:kern w:val="2"/>
      <w:sz w:val="18"/>
      <w:szCs w:val="18"/>
    </w:rPr>
  </w:style>
  <w:style w:type="character" w:customStyle="1" w:styleId="44">
    <w:name w:val="font11"/>
    <w:qFormat/>
    <w:uiPriority w:val="0"/>
    <w:rPr>
      <w:rFonts w:hint="default" w:ascii="仿宋_GB2312" w:eastAsia="仿宋_GB2312" w:cs="仿宋_GB2312"/>
      <w:b/>
      <w:color w:val="000000"/>
      <w:sz w:val="21"/>
      <w:szCs w:val="21"/>
      <w:u w:val="none"/>
    </w:rPr>
  </w:style>
  <w:style w:type="character" w:customStyle="1" w:styleId="45">
    <w:name w:val="正文首行缩进 2 Char"/>
    <w:basedOn w:val="46"/>
    <w:link w:val="31"/>
    <w:qFormat/>
    <w:uiPriority w:val="0"/>
    <w:rPr>
      <w:kern w:val="2"/>
      <w:sz w:val="21"/>
    </w:rPr>
  </w:style>
  <w:style w:type="character" w:customStyle="1" w:styleId="46">
    <w:name w:val="正文文本缩进 Char"/>
    <w:link w:val="17"/>
    <w:qFormat/>
    <w:uiPriority w:val="0"/>
    <w:rPr>
      <w:kern w:val="2"/>
      <w:sz w:val="21"/>
    </w:rPr>
  </w:style>
  <w:style w:type="character" w:customStyle="1" w:styleId="47">
    <w:name w:val="标题 2 Char"/>
    <w:link w:val="5"/>
    <w:qFormat/>
    <w:uiPriority w:val="0"/>
    <w:rPr>
      <w:b/>
      <w:kern w:val="2"/>
      <w:sz w:val="28"/>
    </w:rPr>
  </w:style>
  <w:style w:type="character" w:customStyle="1" w:styleId="48">
    <w:name w:val="页脚 Char"/>
    <w:link w:val="23"/>
    <w:qFormat/>
    <w:uiPriority w:val="99"/>
    <w:rPr>
      <w:kern w:val="2"/>
      <w:sz w:val="18"/>
      <w:szCs w:val="18"/>
    </w:rPr>
  </w:style>
  <w:style w:type="character" w:customStyle="1" w:styleId="49">
    <w:name w:val="3级标题 Char Char"/>
    <w:link w:val="50"/>
    <w:qFormat/>
    <w:uiPriority w:val="0"/>
    <w:rPr>
      <w:b/>
      <w:kern w:val="2"/>
      <w:sz w:val="28"/>
      <w:szCs w:val="28"/>
    </w:rPr>
  </w:style>
  <w:style w:type="paragraph" w:customStyle="1" w:styleId="50">
    <w:name w:val="3级标题"/>
    <w:basedOn w:val="1"/>
    <w:link w:val="49"/>
    <w:qFormat/>
    <w:uiPriority w:val="0"/>
    <w:pPr>
      <w:widowControl w:val="0"/>
      <w:outlineLvl w:val="2"/>
    </w:pPr>
    <w:rPr>
      <w:b/>
      <w:sz w:val="28"/>
      <w:szCs w:val="28"/>
    </w:rPr>
  </w:style>
  <w:style w:type="character" w:customStyle="1" w:styleId="51">
    <w:name w:val="font31"/>
    <w:qFormat/>
    <w:uiPriority w:val="0"/>
    <w:rPr>
      <w:rFonts w:hint="eastAsia" w:ascii="宋体" w:hAnsi="宋体" w:eastAsia="宋体" w:cs="宋体"/>
      <w:color w:val="000000"/>
      <w:sz w:val="21"/>
      <w:szCs w:val="21"/>
      <w:u w:val="none"/>
    </w:rPr>
  </w:style>
  <w:style w:type="character" w:customStyle="1" w:styleId="52">
    <w:name w:val="正文文本 Char"/>
    <w:link w:val="9"/>
    <w:qFormat/>
    <w:uiPriority w:val="0"/>
    <w:rPr>
      <w:b/>
      <w:kern w:val="2"/>
      <w:sz w:val="84"/>
      <w:szCs w:val="72"/>
    </w:rPr>
  </w:style>
  <w:style w:type="character" w:customStyle="1" w:styleId="53">
    <w:name w:val="文档结构图 Char"/>
    <w:link w:val="15"/>
    <w:qFormat/>
    <w:uiPriority w:val="0"/>
    <w:rPr>
      <w:kern w:val="2"/>
      <w:sz w:val="21"/>
      <w:szCs w:val="24"/>
      <w:shd w:val="clear" w:color="auto" w:fill="000080"/>
    </w:rPr>
  </w:style>
  <w:style w:type="character" w:customStyle="1" w:styleId="54">
    <w:name w:val="批注主题 Char"/>
    <w:link w:val="29"/>
    <w:qFormat/>
    <w:uiPriority w:val="0"/>
    <w:rPr>
      <w:rFonts w:ascii="Calibri" w:hAnsi="Calibri" w:cs="Times New Roman"/>
      <w:b/>
      <w:bCs/>
      <w:kern w:val="2"/>
      <w:sz w:val="21"/>
    </w:rPr>
  </w:style>
  <w:style w:type="character" w:customStyle="1" w:styleId="55">
    <w:name w:val="标题 1 Char"/>
    <w:link w:val="4"/>
    <w:qFormat/>
    <w:uiPriority w:val="0"/>
    <w:rPr>
      <w:rFonts w:ascii="Times New Roman" w:hAnsi="Times New Roman" w:eastAsia="华文仿宋"/>
      <w:b/>
      <w:kern w:val="44"/>
      <w:sz w:val="28"/>
    </w:rPr>
  </w:style>
  <w:style w:type="character" w:customStyle="1" w:styleId="56">
    <w:name w:val="datatitle1"/>
    <w:qFormat/>
    <w:uiPriority w:val="0"/>
    <w:rPr>
      <w:b/>
      <w:bCs/>
      <w:color w:val="10619F"/>
      <w:sz w:val="21"/>
      <w:szCs w:val="21"/>
    </w:rPr>
  </w:style>
  <w:style w:type="character" w:customStyle="1" w:styleId="57">
    <w:name w:val="正文缩进 Char"/>
    <w:link w:val="8"/>
    <w:qFormat/>
    <w:uiPriority w:val="0"/>
    <w:rPr>
      <w:kern w:val="2"/>
      <w:sz w:val="21"/>
    </w:rPr>
  </w:style>
  <w:style w:type="character" w:customStyle="1" w:styleId="58">
    <w:name w:val="批注文字 Char"/>
    <w:link w:val="16"/>
    <w:qFormat/>
    <w:uiPriority w:val="0"/>
    <w:rPr>
      <w:rFonts w:ascii="Calibri" w:hAnsi="Calibri" w:cs="Times New Roman"/>
      <w:kern w:val="2"/>
      <w:sz w:val="21"/>
    </w:rPr>
  </w:style>
  <w:style w:type="character" w:customStyle="1" w:styleId="59">
    <w:name w:val="font21"/>
    <w:qFormat/>
    <w:uiPriority w:val="0"/>
    <w:rPr>
      <w:rFonts w:hint="default" w:ascii="Times New Roman" w:hAnsi="Times New Roman" w:cs="Times New Roman"/>
      <w:color w:val="000000"/>
      <w:sz w:val="21"/>
      <w:szCs w:val="21"/>
      <w:u w:val="none"/>
      <w:vertAlign w:val="subscript"/>
    </w:rPr>
  </w:style>
  <w:style w:type="character" w:customStyle="1" w:styleId="60">
    <w:name w:val="2级标题 Char Char"/>
    <w:link w:val="61"/>
    <w:qFormat/>
    <w:uiPriority w:val="0"/>
    <w:rPr>
      <w:b/>
      <w:kern w:val="2"/>
      <w:sz w:val="30"/>
      <w:szCs w:val="30"/>
    </w:rPr>
  </w:style>
  <w:style w:type="paragraph" w:customStyle="1" w:styleId="61">
    <w:name w:val="2级标题"/>
    <w:basedOn w:val="1"/>
    <w:link w:val="60"/>
    <w:qFormat/>
    <w:uiPriority w:val="0"/>
    <w:pPr>
      <w:widowControl w:val="0"/>
      <w:outlineLvl w:val="1"/>
    </w:pPr>
    <w:rPr>
      <w:b/>
      <w:sz w:val="30"/>
      <w:szCs w:val="30"/>
    </w:rPr>
  </w:style>
  <w:style w:type="character" w:customStyle="1" w:styleId="62">
    <w:name w:val="日期 Char"/>
    <w:link w:val="20"/>
    <w:qFormat/>
    <w:uiPriority w:val="0"/>
    <w:rPr>
      <w:rFonts w:ascii="Calibri" w:hAnsi="Calibri" w:cs="Times New Roman"/>
      <w:kern w:val="2"/>
      <w:sz w:val="21"/>
    </w:rPr>
  </w:style>
  <w:style w:type="character" w:customStyle="1" w:styleId="63">
    <w:name w:val="标题 3 Char"/>
    <w:link w:val="6"/>
    <w:qFormat/>
    <w:uiPriority w:val="0"/>
    <w:rPr>
      <w:bCs/>
      <w:kern w:val="2"/>
      <w:sz w:val="28"/>
      <w:szCs w:val="32"/>
    </w:rPr>
  </w:style>
  <w:style w:type="paragraph" w:customStyle="1" w:styleId="64">
    <w:name w:val="表格2"/>
    <w:basedOn w:val="1"/>
    <w:qFormat/>
    <w:uiPriority w:val="0"/>
    <w:pPr>
      <w:spacing w:line="360" w:lineRule="atLeast"/>
      <w:jc w:val="center"/>
    </w:pPr>
    <w:rPr>
      <w:szCs w:val="21"/>
    </w:rPr>
  </w:style>
  <w:style w:type="paragraph" w:customStyle="1" w:styleId="65">
    <w:name w:val="表格下方正文"/>
    <w:basedOn w:val="1"/>
    <w:qFormat/>
    <w:uiPriority w:val="0"/>
    <w:pPr>
      <w:adjustRightInd w:val="0"/>
      <w:snapToGrid w:val="0"/>
      <w:spacing w:before="300" w:line="460" w:lineRule="exact"/>
      <w:ind w:firstLine="482"/>
    </w:pPr>
    <w:rPr>
      <w:snapToGrid w:val="0"/>
      <w:color w:val="000000"/>
      <w:kern w:val="0"/>
      <w:sz w:val="24"/>
    </w:rPr>
  </w:style>
  <w:style w:type="paragraph" w:customStyle="1" w:styleId="66">
    <w:name w:val="样式 正文文本正文文字 Char正文文字Body Text 1正文文字1表标body textBody Text ..."/>
    <w:basedOn w:val="9"/>
    <w:qFormat/>
    <w:uiPriority w:val="0"/>
    <w:pPr>
      <w:tabs>
        <w:tab w:val="left" w:pos="1325"/>
      </w:tabs>
      <w:spacing w:after="0"/>
      <w:ind w:firstLine="482"/>
    </w:pPr>
    <w:rPr>
      <w:rFonts w:ascii="Arial" w:hAnsi="Arial" w:cs="宋体"/>
      <w:spacing w:val="10"/>
      <w:sz w:val="24"/>
    </w:rPr>
  </w:style>
  <w:style w:type="paragraph" w:styleId="67">
    <w:name w:val="List Paragraph"/>
    <w:basedOn w:val="1"/>
    <w:qFormat/>
    <w:uiPriority w:val="1"/>
    <w:rPr>
      <w:sz w:val="24"/>
    </w:rPr>
  </w:style>
  <w:style w:type="paragraph" w:customStyle="1" w:styleId="68">
    <w:name w:val="正文开头二"/>
    <w:basedOn w:val="1"/>
    <w:qFormat/>
    <w:uiPriority w:val="0"/>
    <w:pPr>
      <w:autoSpaceDE w:val="0"/>
      <w:autoSpaceDN w:val="0"/>
      <w:adjustRightInd w:val="0"/>
      <w:spacing w:before="60" w:line="400" w:lineRule="atLeast"/>
      <w:textAlignment w:val="baseline"/>
    </w:pPr>
    <w:rPr>
      <w:kern w:val="0"/>
    </w:rPr>
  </w:style>
  <w:style w:type="paragraph" w:customStyle="1" w:styleId="69">
    <w:name w:val="Default"/>
    <w:unhideWhenUsed/>
    <w:qFormat/>
    <w:uiPriority w:val="0"/>
    <w:pPr>
      <w:widowControl w:val="0"/>
      <w:autoSpaceDE w:val="0"/>
      <w:autoSpaceDN w:val="0"/>
      <w:adjustRightInd w:val="0"/>
    </w:pPr>
    <w:rPr>
      <w:rFonts w:ascii="Arial Unicode MS" w:hAnsi="Arial Unicode MS" w:eastAsia="Arial Unicode MS" w:cs="Times New Roman"/>
      <w:color w:val="000000"/>
      <w:sz w:val="24"/>
      <w:lang w:val="en-US" w:eastAsia="zh-CN" w:bidi="ar-SA"/>
    </w:rPr>
  </w:style>
  <w:style w:type="paragraph" w:customStyle="1" w:styleId="70">
    <w:name w:val="正文01"/>
    <w:basedOn w:val="1"/>
    <w:qFormat/>
    <w:uiPriority w:val="0"/>
    <w:pPr>
      <w:spacing w:before="60" w:line="460" w:lineRule="exact"/>
      <w:ind w:firstLine="200" w:firstLineChars="200"/>
    </w:pPr>
    <w:rPr>
      <w:rFonts w:ascii="Arial" w:hAnsi="Arial"/>
      <w:sz w:val="24"/>
    </w:rPr>
  </w:style>
  <w:style w:type="paragraph" w:customStyle="1" w:styleId="71">
    <w:name w:val="WPSOffice手动目录 1"/>
    <w:qFormat/>
    <w:uiPriority w:val="0"/>
    <w:rPr>
      <w:rFonts w:ascii="Times New Roman" w:hAnsi="Times New Roman" w:eastAsia="宋体" w:cs="Times New Roman"/>
      <w:lang w:val="en-US" w:eastAsia="zh-CN" w:bidi="ar-SA"/>
    </w:rPr>
  </w:style>
  <w:style w:type="paragraph" w:customStyle="1" w:styleId="72">
    <w:name w:val="p0"/>
    <w:basedOn w:val="1"/>
    <w:qFormat/>
    <w:uiPriority w:val="0"/>
    <w:pPr>
      <w:spacing w:line="340" w:lineRule="atLeast"/>
    </w:pPr>
    <w:rPr>
      <w:rFonts w:ascii="Calibri" w:hAnsi="Calibri" w:cs="宋体"/>
      <w:kern w:val="0"/>
      <w:szCs w:val="21"/>
    </w:rPr>
  </w:style>
  <w:style w:type="paragraph" w:customStyle="1" w:styleId="73">
    <w:name w:val="表格标题"/>
    <w:basedOn w:val="1"/>
    <w:qFormat/>
    <w:uiPriority w:val="0"/>
    <w:pPr>
      <w:spacing w:before="60" w:line="460" w:lineRule="exact"/>
      <w:jc w:val="center"/>
    </w:pPr>
    <w:rPr>
      <w:sz w:val="24"/>
    </w:rPr>
  </w:style>
  <w:style w:type="paragraph" w:customStyle="1" w:styleId="74">
    <w:name w:val="Char"/>
    <w:basedOn w:val="1"/>
    <w:qFormat/>
    <w:uiPriority w:val="0"/>
    <w:pPr>
      <w:spacing w:after="160" w:line="240" w:lineRule="exact"/>
      <w:jc w:val="left"/>
    </w:pPr>
    <w:rPr>
      <w:rFonts w:ascii="Verdana" w:hAnsi="Verdana" w:eastAsia="仿宋_GB2312" w:cs="Verdana"/>
      <w:kern w:val="0"/>
      <w:sz w:val="30"/>
      <w:szCs w:val="30"/>
      <w:lang w:eastAsia="en-US"/>
    </w:rPr>
  </w:style>
  <w:style w:type="paragraph" w:customStyle="1" w:styleId="75">
    <w:name w:val="xl26"/>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76">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77">
    <w:name w:val="Table Paragraph"/>
    <w:basedOn w:val="1"/>
    <w:unhideWhenUsed/>
    <w:qFormat/>
    <w:uiPriority w:val="1"/>
    <w:rPr>
      <w:sz w:val="24"/>
    </w:rPr>
  </w:style>
  <w:style w:type="paragraph" w:customStyle="1" w:styleId="78">
    <w:name w:val="一级标题"/>
    <w:basedOn w:val="1"/>
    <w:qFormat/>
    <w:uiPriority w:val="0"/>
    <w:pPr>
      <w:spacing w:before="60" w:line="400" w:lineRule="exact"/>
      <w:outlineLvl w:val="0"/>
    </w:pPr>
    <w:rPr>
      <w:rFonts w:ascii="Arial" w:hAnsi="Arial" w:cs="Arial"/>
      <w:b/>
      <w:sz w:val="32"/>
    </w:rPr>
  </w:style>
  <w:style w:type="paragraph" w:customStyle="1" w:styleId="79">
    <w:name w:val="样式 样式 标题 2ZJX标题 2 + (中文) 宋体 四号 加粗 + 段后: 1 行"/>
    <w:basedOn w:val="1"/>
    <w:qFormat/>
    <w:uiPriority w:val="0"/>
    <w:pPr>
      <w:keepNext/>
      <w:widowControl w:val="0"/>
      <w:spacing w:beforeLines="100" w:afterLines="100" w:line="360" w:lineRule="auto"/>
      <w:outlineLvl w:val="1"/>
    </w:pPr>
    <w:rPr>
      <w:rFonts w:cs="宋体"/>
      <w:b/>
      <w:bCs/>
      <w:spacing w:val="4"/>
      <w:sz w:val="30"/>
      <w:szCs w:val="30"/>
    </w:rPr>
  </w:style>
  <w:style w:type="paragraph" w:customStyle="1" w:styleId="80">
    <w:name w:val="报告文字"/>
    <w:basedOn w:val="1"/>
    <w:qFormat/>
    <w:uiPriority w:val="0"/>
    <w:pPr>
      <w:tabs>
        <w:tab w:val="left" w:pos="0"/>
        <w:tab w:val="left" w:pos="2955"/>
      </w:tabs>
      <w:autoSpaceDE w:val="0"/>
      <w:autoSpaceDN w:val="0"/>
      <w:spacing w:line="360" w:lineRule="auto"/>
      <w:ind w:firstLine="480" w:firstLineChars="200"/>
      <w:jc w:val="left"/>
    </w:pPr>
    <w:rPr>
      <w:sz w:val="24"/>
      <w:szCs w:val="23"/>
    </w:rPr>
  </w:style>
  <w:style w:type="paragraph" w:customStyle="1" w:styleId="81">
    <w:name w:val="Char11"/>
    <w:basedOn w:val="1"/>
    <w:qFormat/>
    <w:uiPriority w:val="0"/>
    <w:pPr>
      <w:spacing w:after="160" w:line="240" w:lineRule="exact"/>
      <w:jc w:val="left"/>
    </w:pPr>
    <w:rPr>
      <w:rFonts w:ascii="Verdana" w:hAnsi="Verdana" w:eastAsia="仿宋_GB2312" w:cs="Verdana"/>
      <w:kern w:val="0"/>
      <w:sz w:val="30"/>
      <w:szCs w:val="30"/>
      <w:lang w:eastAsia="en-US"/>
    </w:rPr>
  </w:style>
  <w:style w:type="paragraph" w:customStyle="1" w:styleId="82">
    <w:name w:val="样式 标题 3 + 段前: 6 磅 段后: 0 磅 行距: 1.5 倍行距"/>
    <w:basedOn w:val="6"/>
    <w:qFormat/>
    <w:uiPriority w:val="0"/>
    <w:rPr>
      <w:rFonts w:cs="宋体"/>
      <w:sz w:val="24"/>
      <w:szCs w:val="24"/>
    </w:rPr>
  </w:style>
  <w:style w:type="paragraph" w:customStyle="1" w:styleId="83">
    <w:name w:val="样式15"/>
    <w:basedOn w:val="7"/>
    <w:qFormat/>
    <w:uiPriority w:val="0"/>
    <w:pPr>
      <w:spacing w:before="120"/>
      <w:ind w:left="2418" w:hanging="563"/>
    </w:pPr>
  </w:style>
  <w:style w:type="paragraph" w:customStyle="1" w:styleId="84">
    <w:name w:val="表"/>
    <w:basedOn w:val="1"/>
    <w:qFormat/>
    <w:uiPriority w:val="0"/>
    <w:pPr>
      <w:snapToGrid w:val="0"/>
      <w:jc w:val="center"/>
    </w:pPr>
    <w:rPr>
      <w:spacing w:val="2"/>
    </w:rPr>
  </w:style>
  <w:style w:type="paragraph" w:customStyle="1" w:styleId="85">
    <w:name w:val="p16"/>
    <w:basedOn w:val="1"/>
    <w:qFormat/>
    <w:uiPriority w:val="0"/>
    <w:pPr>
      <w:spacing w:line="264" w:lineRule="auto"/>
      <w:ind w:firstLine="476"/>
    </w:pPr>
    <w:rPr>
      <w:rFonts w:ascii="Arial" w:hAnsi="Arial"/>
      <w:color w:val="000000"/>
      <w:spacing w:val="10"/>
      <w:kern w:val="0"/>
      <w:sz w:val="24"/>
    </w:rPr>
  </w:style>
  <w:style w:type="paragraph" w:customStyle="1" w:styleId="86">
    <w:name w:val="样式 标题 3ZJX标题 3 + 段前: 1 行 段后: 1 行"/>
    <w:basedOn w:val="6"/>
    <w:qFormat/>
    <w:uiPriority w:val="0"/>
    <w:pPr>
      <w:widowControl w:val="0"/>
      <w:spacing w:afterLines="100"/>
    </w:pPr>
    <w:rPr>
      <w:b/>
      <w:szCs w:val="20"/>
      <w:lang w:val="zh-CN"/>
    </w:rPr>
  </w:style>
  <w:style w:type="paragraph" w:customStyle="1" w:styleId="87">
    <w:name w:val="大标题"/>
    <w:basedOn w:val="1"/>
    <w:qFormat/>
    <w:uiPriority w:val="0"/>
    <w:pPr>
      <w:adjustRightInd w:val="0"/>
      <w:snapToGrid w:val="0"/>
      <w:spacing w:line="360" w:lineRule="auto"/>
      <w:jc w:val="left"/>
    </w:pPr>
    <w:rPr>
      <w:snapToGrid w:val="0"/>
      <w:sz w:val="28"/>
      <w:szCs w:val="28"/>
    </w:rPr>
  </w:style>
  <w:style w:type="paragraph" w:customStyle="1" w:styleId="88">
    <w:name w:val="陈光的正文"/>
    <w:basedOn w:val="1"/>
    <w:qFormat/>
    <w:uiPriority w:val="0"/>
    <w:pPr>
      <w:widowControl w:val="0"/>
      <w:spacing w:line="360" w:lineRule="auto"/>
      <w:ind w:firstLine="567"/>
    </w:pPr>
    <w:rPr>
      <w:rFonts w:ascii="Arial" w:hAnsi="Arial"/>
      <w:sz w:val="28"/>
    </w:rPr>
  </w:style>
  <w:style w:type="paragraph" w:customStyle="1" w:styleId="89">
    <w:name w:val="表格"/>
    <w:basedOn w:val="1"/>
    <w:next w:val="1"/>
    <w:link w:val="111"/>
    <w:qFormat/>
    <w:uiPriority w:val="0"/>
    <w:pPr>
      <w:keepNext/>
      <w:adjustRightInd w:val="0"/>
      <w:spacing w:line="312" w:lineRule="atLeast"/>
      <w:jc w:val="center"/>
      <w:textAlignment w:val="baseline"/>
    </w:pPr>
    <w:rPr>
      <w:kern w:val="0"/>
    </w:rPr>
  </w:style>
  <w:style w:type="paragraph" w:customStyle="1" w:styleId="90">
    <w:name w:val="正文2"/>
    <w:basedOn w:val="1"/>
    <w:qFormat/>
    <w:uiPriority w:val="0"/>
    <w:pPr>
      <w:adjustRightInd w:val="0"/>
      <w:snapToGrid w:val="0"/>
      <w:spacing w:line="440" w:lineRule="atLeast"/>
      <w:ind w:firstLine="567"/>
    </w:pPr>
    <w:rPr>
      <w:sz w:val="24"/>
    </w:rPr>
  </w:style>
  <w:style w:type="paragraph" w:customStyle="1" w:styleId="91">
    <w:name w:val="流程图"/>
    <w:basedOn w:val="1"/>
    <w:qFormat/>
    <w:uiPriority w:val="0"/>
    <w:pPr>
      <w:adjustRightInd w:val="0"/>
      <w:spacing w:line="200" w:lineRule="atLeast"/>
      <w:textAlignment w:val="baseline"/>
    </w:pPr>
    <w:rPr>
      <w:kern w:val="0"/>
    </w:rPr>
  </w:style>
  <w:style w:type="paragraph" w:customStyle="1" w:styleId="92">
    <w:name w:val="表文"/>
    <w:basedOn w:val="30"/>
    <w:next w:val="30"/>
    <w:qFormat/>
    <w:uiPriority w:val="0"/>
    <w:pPr>
      <w:topLinePunct w:val="0"/>
      <w:spacing w:after="0"/>
      <w:ind w:firstLine="0" w:firstLineChars="0"/>
      <w:jc w:val="center"/>
    </w:pPr>
    <w:rPr>
      <w:rFonts w:hAnsi="宋体" w:eastAsia="仿宋_GB2312" w:cs="宋体"/>
    </w:rPr>
  </w:style>
  <w:style w:type="paragraph" w:customStyle="1" w:styleId="93">
    <w:name w:val="Char1"/>
    <w:basedOn w:val="1"/>
    <w:qFormat/>
    <w:uiPriority w:val="0"/>
    <w:pPr>
      <w:spacing w:after="160" w:line="240" w:lineRule="exact"/>
      <w:jc w:val="left"/>
    </w:pPr>
    <w:rPr>
      <w:rFonts w:ascii="Verdana" w:hAnsi="Verdana" w:eastAsia="仿宋_GB2312" w:cs="Verdana"/>
      <w:kern w:val="0"/>
      <w:sz w:val="30"/>
      <w:szCs w:val="30"/>
      <w:lang w:eastAsia="en-US"/>
    </w:rPr>
  </w:style>
  <w:style w:type="paragraph" w:customStyle="1" w:styleId="94">
    <w:name w:val="样式1"/>
    <w:basedOn w:val="17"/>
    <w:qFormat/>
    <w:uiPriority w:val="0"/>
  </w:style>
  <w:style w:type="paragraph" w:customStyle="1" w:styleId="95">
    <w:name w:val="居中正文"/>
    <w:basedOn w:val="30"/>
    <w:next w:val="30"/>
    <w:qFormat/>
    <w:uiPriority w:val="0"/>
  </w:style>
  <w:style w:type="paragraph" w:customStyle="1" w:styleId="96">
    <w:name w:val="普通(网站)1"/>
    <w:basedOn w:val="1"/>
    <w:qFormat/>
    <w:uiPriority w:val="0"/>
    <w:pPr>
      <w:spacing w:before="100" w:beforeAutospacing="1" w:after="100" w:afterAutospacing="1"/>
    </w:pPr>
    <w:rPr>
      <w:rFonts w:ascii="宋体" w:hAnsi="宋体" w:cs="宋体"/>
      <w:sz w:val="24"/>
      <w:szCs w:val="24"/>
    </w:rPr>
  </w:style>
  <w:style w:type="paragraph" w:customStyle="1" w:styleId="97">
    <w:name w:val="表格内容"/>
    <w:basedOn w:val="8"/>
    <w:next w:val="9"/>
    <w:qFormat/>
    <w:uiPriority w:val="0"/>
    <w:pPr>
      <w:jc w:val="center"/>
    </w:pPr>
    <w:rPr>
      <w:sz w:val="24"/>
    </w:rPr>
  </w:style>
  <w:style w:type="paragraph" w:customStyle="1" w:styleId="98">
    <w:name w:val="正文1"/>
    <w:basedOn w:val="1"/>
    <w:qFormat/>
    <w:uiPriority w:val="0"/>
    <w:pPr>
      <w:snapToGrid w:val="0"/>
      <w:spacing w:line="500" w:lineRule="atLeast"/>
      <w:ind w:firstLine="567"/>
    </w:pPr>
    <w:rPr>
      <w:sz w:val="28"/>
    </w:rPr>
  </w:style>
  <w:style w:type="paragraph" w:customStyle="1" w:styleId="99">
    <w:name w:val="普通(网站)11"/>
    <w:basedOn w:val="1"/>
    <w:qFormat/>
    <w:uiPriority w:val="0"/>
    <w:pPr>
      <w:spacing w:before="100" w:beforeAutospacing="1" w:after="100" w:afterAutospacing="1"/>
    </w:pPr>
    <w:rPr>
      <w:rFonts w:ascii="宋体" w:hAnsi="宋体" w:cs="宋体"/>
      <w:sz w:val="24"/>
      <w:szCs w:val="24"/>
    </w:rPr>
  </w:style>
  <w:style w:type="paragraph" w:customStyle="1" w:styleId="100">
    <w:name w:val="(1表格"/>
    <w:basedOn w:val="5"/>
    <w:qFormat/>
    <w:uiPriority w:val="0"/>
    <w:pPr>
      <w:keepNext w:val="0"/>
      <w:widowControl w:val="0"/>
      <w:spacing w:beforeLines="0" w:after="100" w:afterLines="0" w:afterAutospacing="1"/>
      <w:jc w:val="center"/>
    </w:pPr>
    <w:rPr>
      <w:rFonts w:eastAsia="仿宋_GB2312"/>
      <w:b w:val="0"/>
      <w:color w:val="000000"/>
      <w:kern w:val="0"/>
      <w:sz w:val="21"/>
      <w:szCs w:val="21"/>
    </w:rPr>
  </w:style>
  <w:style w:type="paragraph" w:customStyle="1" w:styleId="101">
    <w:name w:val="表格正文"/>
    <w:basedOn w:val="1"/>
    <w:qFormat/>
    <w:uiPriority w:val="0"/>
    <w:pPr>
      <w:spacing w:line="360" w:lineRule="exact"/>
      <w:jc w:val="center"/>
    </w:pPr>
    <w:rPr>
      <w:rFonts w:ascii="Arial" w:hAnsi="Arial"/>
    </w:rPr>
  </w:style>
  <w:style w:type="paragraph" w:customStyle="1" w:styleId="102">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103">
    <w:name w:val="样式 标题 1 + 段前: 0 磅 段后: 0 磅 行距: 1.5 倍行距"/>
    <w:basedOn w:val="4"/>
    <w:qFormat/>
    <w:uiPriority w:val="0"/>
    <w:pPr>
      <w:widowControl w:val="0"/>
      <w:spacing w:before="240" w:after="240" w:line="360" w:lineRule="auto"/>
      <w:jc w:val="center"/>
    </w:pPr>
    <w:rPr>
      <w:rFonts w:eastAsia="宋体" w:cs="宋体"/>
      <w:bCs/>
      <w:sz w:val="36"/>
    </w:rPr>
  </w:style>
  <w:style w:type="paragraph" w:customStyle="1" w:styleId="104">
    <w:name w:val="(a正文"/>
    <w:basedOn w:val="1"/>
    <w:qFormat/>
    <w:uiPriority w:val="0"/>
    <w:pPr>
      <w:spacing w:line="440" w:lineRule="exact"/>
      <w:ind w:firstLine="200" w:firstLineChars="200"/>
    </w:pPr>
    <w:rPr>
      <w:rFonts w:eastAsia="仿宋_GB2312"/>
      <w:color w:val="000000"/>
      <w:sz w:val="24"/>
    </w:rPr>
  </w:style>
  <w:style w:type="paragraph" w:customStyle="1" w:styleId="105">
    <w:name w:val="表格文字1"/>
    <w:basedOn w:val="1"/>
    <w:qFormat/>
    <w:uiPriority w:val="0"/>
    <w:pPr>
      <w:widowControl w:val="0"/>
      <w:tabs>
        <w:tab w:val="left" w:pos="277"/>
        <w:tab w:val="left" w:pos="600"/>
        <w:tab w:val="left" w:pos="780"/>
        <w:tab w:val="left" w:pos="2517"/>
      </w:tabs>
      <w:adjustRightInd w:val="0"/>
      <w:jc w:val="center"/>
      <w:textAlignment w:val="baseline"/>
    </w:pPr>
    <w:rPr>
      <w:rFonts w:ascii="Calibri" w:hAnsi="Calibri" w:cs="宋体"/>
      <w:spacing w:val="-5"/>
      <w:kern w:val="0"/>
      <w:sz w:val="24"/>
      <w:szCs w:val="21"/>
    </w:rPr>
  </w:style>
  <w:style w:type="character" w:customStyle="1" w:styleId="106">
    <w:name w:val="Char Char Char Char Char"/>
    <w:link w:val="107"/>
    <w:qFormat/>
    <w:uiPriority w:val="0"/>
    <w:rPr>
      <w:rFonts w:ascii="Calibri" w:hAnsi="Calibri"/>
      <w:kern w:val="2"/>
      <w:sz w:val="24"/>
      <w:szCs w:val="24"/>
    </w:rPr>
  </w:style>
  <w:style w:type="paragraph" w:customStyle="1" w:styleId="107">
    <w:name w:val="Char Char Char Char"/>
    <w:basedOn w:val="1"/>
    <w:link w:val="106"/>
    <w:qFormat/>
    <w:uiPriority w:val="0"/>
    <w:pPr>
      <w:widowControl w:val="0"/>
      <w:spacing w:line="320" w:lineRule="exact"/>
    </w:pPr>
    <w:rPr>
      <w:rFonts w:ascii="Calibri" w:hAnsi="Calibri"/>
      <w:sz w:val="24"/>
      <w:szCs w:val="24"/>
    </w:rPr>
  </w:style>
  <w:style w:type="character" w:customStyle="1" w:styleId="108">
    <w:name w:val="纯文本 Char"/>
    <w:link w:val="2"/>
    <w:qFormat/>
    <w:uiPriority w:val="0"/>
    <w:rPr>
      <w:rFonts w:ascii="宋体" w:hAnsi="Courier New"/>
      <w:kern w:val="2"/>
      <w:sz w:val="24"/>
    </w:rPr>
  </w:style>
  <w:style w:type="character" w:customStyle="1" w:styleId="109">
    <w:name w:val="正文首行缩进 2 + Times New Roman Char"/>
    <w:link w:val="110"/>
    <w:qFormat/>
    <w:locked/>
    <w:uiPriority w:val="0"/>
    <w:rPr>
      <w:sz w:val="24"/>
      <w:szCs w:val="24"/>
    </w:rPr>
  </w:style>
  <w:style w:type="paragraph" w:customStyle="1" w:styleId="110">
    <w:name w:val="正文首行缩进 2 + Times New Roman"/>
    <w:basedOn w:val="1"/>
    <w:link w:val="109"/>
    <w:qFormat/>
    <w:uiPriority w:val="0"/>
    <w:pPr>
      <w:widowControl w:val="0"/>
      <w:tabs>
        <w:tab w:val="left" w:pos="0"/>
        <w:tab w:val="left" w:pos="870"/>
        <w:tab w:val="left" w:pos="3150"/>
      </w:tabs>
      <w:autoSpaceDE w:val="0"/>
      <w:autoSpaceDN w:val="0"/>
      <w:spacing w:line="360" w:lineRule="auto"/>
      <w:ind w:firstLine="480" w:firstLineChars="200"/>
      <w:jc w:val="left"/>
    </w:pPr>
    <w:rPr>
      <w:kern w:val="0"/>
      <w:sz w:val="24"/>
      <w:szCs w:val="24"/>
    </w:rPr>
  </w:style>
  <w:style w:type="character" w:customStyle="1" w:styleId="111">
    <w:name w:val="表格 Char"/>
    <w:link w:val="89"/>
    <w:qFormat/>
    <w:uiPriority w:val="0"/>
    <w:rPr>
      <w:sz w:val="21"/>
    </w:rPr>
  </w:style>
  <w:style w:type="character" w:customStyle="1" w:styleId="112">
    <w:name w:val="标题 9 Char"/>
    <w:link w:val="11"/>
    <w:semiHidden/>
    <w:qFormat/>
    <w:uiPriority w:val="0"/>
    <w:rPr>
      <w:rFonts w:ascii="Cambria" w:hAnsi="Cambria" w:eastAsia="宋体" w:cs="Times New Roman"/>
      <w:kern w:val="2"/>
      <w:sz w:val="21"/>
      <w:szCs w:val="21"/>
    </w:rPr>
  </w:style>
  <w:style w:type="paragraph" w:customStyle="1" w:styleId="113">
    <w:name w:val="结果表格"/>
    <w:basedOn w:val="1"/>
    <w:qFormat/>
    <w:uiPriority w:val="0"/>
    <w:pPr>
      <w:widowControl w:val="0"/>
      <w:jc w:val="left"/>
    </w:pPr>
    <w:rPr>
      <w:sz w:val="24"/>
      <w:szCs w:val="22"/>
    </w:rPr>
  </w:style>
  <w:style w:type="table" w:customStyle="1" w:styleId="114">
    <w:name w:val="MsoTableGrid"/>
    <w:basedOn w:val="32"/>
    <w:qFormat/>
    <w:uiPriority w:val="0"/>
    <w:rPr>
      <w:rFonts w:ascii="Calibri" w:hAnsi="Calibri"/>
    </w:rPr>
    <w:tblPr>
      <w:tblCellMar>
        <w:top w:w="0" w:type="dxa"/>
        <w:left w:w="108" w:type="dxa"/>
        <w:bottom w:w="0" w:type="dxa"/>
        <w:right w:w="108" w:type="dxa"/>
      </w:tblCellMar>
    </w:tblPr>
  </w:style>
  <w:style w:type="paragraph" w:customStyle="1" w:styleId="115">
    <w:name w:val="MsoNormal"/>
    <w:basedOn w:val="113"/>
    <w:qFormat/>
    <w:uiPriority w:val="0"/>
  </w:style>
  <w:style w:type="character" w:customStyle="1" w:styleId="116">
    <w:name w:val="页脚 字符"/>
    <w:basedOn w:val="34"/>
    <w:qFormat/>
    <w:uiPriority w:val="99"/>
  </w:style>
  <w:style w:type="paragraph" w:customStyle="1" w:styleId="117">
    <w:name w:val="Char Char1"/>
    <w:basedOn w:val="1"/>
    <w:qFormat/>
    <w:uiPriority w:val="0"/>
    <w:pPr>
      <w:widowControl w:val="0"/>
      <w:spacing w:line="360" w:lineRule="auto"/>
      <w:ind w:firstLine="200" w:firstLineChars="200"/>
    </w:pPr>
    <w:rPr>
      <w:rFonts w:ascii="宋体" w:hAnsi="宋体" w:cs="宋体"/>
      <w:sz w:val="24"/>
      <w:szCs w:val="24"/>
    </w:rPr>
  </w:style>
  <w:style w:type="paragraph" w:customStyle="1" w:styleId="118">
    <w:name w:val="正式海油文字"/>
    <w:basedOn w:val="1"/>
    <w:qFormat/>
    <w:uiPriority w:val="0"/>
    <w:pPr>
      <w:adjustRightInd w:val="0"/>
      <w:snapToGrid w:val="0"/>
      <w:spacing w:line="500" w:lineRule="exact"/>
      <w:ind w:firstLine="200" w:firstLineChars="200"/>
      <w:jc w:val="left"/>
    </w:pPr>
    <w:rPr>
      <w:color w:val="000000"/>
      <w:sz w:val="24"/>
      <w:szCs w:val="28"/>
    </w:rPr>
  </w:style>
  <w:style w:type="paragraph" w:customStyle="1" w:styleId="119">
    <w:name w:val="样式 正文001 + 首行缩进:  2 字符1"/>
    <w:basedOn w:val="1"/>
    <w:qFormat/>
    <w:uiPriority w:val="0"/>
    <w:pPr>
      <w:spacing w:before="60" w:line="460" w:lineRule="exact"/>
      <w:ind w:firstLine="480" w:firstLineChars="200"/>
    </w:pPr>
    <w:rPr>
      <w:rFonts w:ascii="宋体" w:hAnsi="宋体"/>
      <w:sz w:val="24"/>
      <w:szCs w:val="22"/>
    </w:rPr>
  </w:style>
  <w:style w:type="paragraph" w:customStyle="1" w:styleId="120">
    <w:name w:val="MsoNormal_0"/>
    <w:basedOn w:val="1"/>
    <w:qFormat/>
    <w:uiPriority w:val="0"/>
    <w:rPr>
      <w:rFonts w:ascii="Calibri" w:hAnsi="Calibri"/>
      <w:szCs w:val="24"/>
    </w:rPr>
  </w:style>
  <w:style w:type="table" w:customStyle="1" w:styleId="121">
    <w:name w:val="MsoTableGrid_0"/>
    <w:basedOn w:val="32"/>
    <w:qFormat/>
    <w:uiPriority w:val="0"/>
    <w:rPr>
      <w:rFonts w:ascii="Calibri" w:hAnsi="Calibri"/>
    </w:rPr>
  </w:style>
  <w:style w:type="paragraph" w:customStyle="1" w:styleId="122">
    <w:name w:val="pzg 表格"/>
    <w:basedOn w:val="1"/>
    <w:qFormat/>
    <w:uiPriority w:val="0"/>
    <w:pPr>
      <w:spacing w:line="0" w:lineRule="atLeast"/>
      <w:jc w:val="center"/>
    </w:pPr>
    <w:rPr>
      <w:rFonts w:ascii="Times New Roman" w:hAnsi="Times New Roman" w:eastAsia="宋体" w:cs="Times New Roman"/>
      <w:szCs w:val="21"/>
    </w:rPr>
  </w:style>
  <w:style w:type="paragraph" w:customStyle="1" w:styleId="123">
    <w:name w:val="Body text|1"/>
    <w:basedOn w:val="1"/>
    <w:qFormat/>
    <w:uiPriority w:val="0"/>
    <w:pPr>
      <w:widowControl w:val="0"/>
      <w:shd w:val="clear" w:color="auto" w:fill="auto"/>
      <w:spacing w:line="408" w:lineRule="auto"/>
      <w:ind w:firstLine="400"/>
    </w:pPr>
    <w:rPr>
      <w:rFonts w:ascii="宋体" w:hAnsi="宋体" w:eastAsia="宋体" w:cs="宋体"/>
      <w:u w:val="none"/>
      <w:shd w:val="clear" w:color="auto" w:fill="auto"/>
      <w:lang w:val="zh-TW" w:eastAsia="zh-TW" w:bidi="zh-TW"/>
    </w:rPr>
  </w:style>
  <w:style w:type="paragraph" w:customStyle="1" w:styleId="124">
    <w:name w:val="PlainText"/>
    <w:basedOn w:val="1"/>
    <w:next w:val="125"/>
    <w:qFormat/>
    <w:uiPriority w:val="0"/>
    <w:rPr>
      <w:rFonts w:ascii="宋体" w:hAnsi="Courier New"/>
      <w:szCs w:val="20"/>
    </w:rPr>
  </w:style>
  <w:style w:type="paragraph" w:customStyle="1" w:styleId="125">
    <w:name w:val="TOC1"/>
    <w:basedOn w:val="1"/>
    <w:next w:val="1"/>
    <w:qFormat/>
    <w:uiPriority w:val="0"/>
    <w:pPr>
      <w:spacing w:before="120" w:after="120"/>
      <w:jc w:val="left"/>
    </w:pPr>
    <w:rPr>
      <w:b/>
      <w:bCs/>
      <w:caps/>
      <w:sz w:val="28"/>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0" Type="http://schemas.openxmlformats.org/officeDocument/2006/relationships/fontTable" Target="fontTable.xml"/><Relationship Id="rId7" Type="http://schemas.openxmlformats.org/officeDocument/2006/relationships/footer" Target="footer2.xml"/><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3.xml"/><Relationship Id="rId59" Type="http://schemas.openxmlformats.org/officeDocument/2006/relationships/image" Target="media/image48.png"/><Relationship Id="rId58" Type="http://schemas.openxmlformats.org/officeDocument/2006/relationships/image" Target="../NULL"/><Relationship Id="rId57" Type="http://schemas.openxmlformats.org/officeDocument/2006/relationships/image" Target="media/image46.pn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pn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8BC89A3-A8AE-4FAA-938C-F3CBFF823147}">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57</Pages>
  <Words>15133</Words>
  <Characters>19655</Characters>
  <Lines>112</Lines>
  <Paragraphs>31</Paragraphs>
  <TotalTime>2</TotalTime>
  <ScaleCrop>false</ScaleCrop>
  <LinksUpToDate>false</LinksUpToDate>
  <CharactersWithSpaces>20012</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2022-05-16T01:25:00Z</dcterms:created>
  <dc:creator>Administrator</dc:creator>
  <cp:lastModifiedBy>卢海舰</cp:lastModifiedBy>
  <cp:lastPrinted>2023-02-07T02:46:00Z</cp:lastPrinted>
  <dcterms:modified xsi:type="dcterms:W3CDTF">2023-12-18T01:05:23Z</dcterms:modified>
  <cp:revision>56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CA671DE4657D42DDBABF6E378FF43E52_13</vt:lpwstr>
  </property>
</Properties>
</file>